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F4" w:rsidRDefault="00AB22F4" w:rsidP="00845094">
      <w:pPr>
        <w:pStyle w:val="Title"/>
        <w:jc w:val="both"/>
        <w:rPr>
          <w:rFonts w:ascii="Times New Roman Bold CE" w:hAnsi="Times New Roman Bold CE"/>
          <w:b/>
          <w:bCs/>
          <w:sz w:val="24"/>
          <w:u w:val="none"/>
        </w:rPr>
      </w:pPr>
      <w:r>
        <w:rPr>
          <w:rFonts w:ascii="Times New Roman Bold CE" w:hAnsi="Times New Roman Bold CE"/>
          <w:b/>
          <w:bCs/>
          <w:sz w:val="24"/>
          <w:u w:val="none"/>
        </w:rPr>
        <w:t>V</w:t>
      </w:r>
      <w:r w:rsidRPr="00403933">
        <w:rPr>
          <w:rFonts w:ascii="Times New Roman Bold CE" w:hAnsi="Times New Roman Bold CE"/>
          <w:b/>
          <w:bCs/>
          <w:sz w:val="24"/>
          <w:u w:val="none"/>
        </w:rPr>
        <w:t>ýpočet poměrových ukazatelů</w:t>
      </w:r>
    </w:p>
    <w:p w:rsidR="00AB22F4" w:rsidRDefault="00AB22F4" w:rsidP="00845094">
      <w:pPr>
        <w:pStyle w:val="Title"/>
        <w:jc w:val="both"/>
        <w:rPr>
          <w:rFonts w:ascii="Times New Roman Bold CE" w:hAnsi="Times New Roman Bold CE"/>
          <w:b/>
          <w:bCs/>
          <w:sz w:val="24"/>
          <w:u w:val="none"/>
        </w:rPr>
      </w:pPr>
    </w:p>
    <w:p w:rsidR="00AB22F4" w:rsidRPr="007D6A74" w:rsidRDefault="00AB22F4" w:rsidP="005309E9">
      <w:pPr>
        <w:jc w:val="both"/>
      </w:pPr>
      <w:r w:rsidRPr="005309E9">
        <w:t xml:space="preserve">Ustanovením </w:t>
      </w:r>
      <w:r w:rsidRPr="00403933">
        <w:t xml:space="preserve">§ 10 odst. 4 písm. b) zákona č. 420/2004 </w:t>
      </w:r>
      <w:r>
        <w:t>S</w:t>
      </w:r>
      <w:r w:rsidRPr="00403933">
        <w:t>b.</w:t>
      </w:r>
      <w:r>
        <w:t>,</w:t>
      </w:r>
      <w:r w:rsidRPr="00403933">
        <w:t xml:space="preserve"> o přezkoumávání hospodaření územních samosprávných cel</w:t>
      </w:r>
      <w:r>
        <w:t>ků a dobrovolných svazků obcí, a </w:t>
      </w:r>
      <w:r w:rsidRPr="00403933">
        <w:t>jeho aktualizace pro přezkoumání hospodaření za rok 2012</w:t>
      </w:r>
      <w:r>
        <w:t xml:space="preserve"> </w:t>
      </w:r>
      <w:r w:rsidRPr="007D6A74">
        <w:t xml:space="preserve">je uložena povinná náležitost závěru Zprávy o výsledku přezkoumání hospodaření, a to: </w:t>
      </w:r>
      <w:r w:rsidRPr="005309E9">
        <w:t>„ uvedení podílu pohledávek a závazků na rozpočtu územního celku a podílu zastaveného majetku na celkovém majetku územního celku“</w:t>
      </w:r>
      <w:r w:rsidRPr="007D6A74">
        <w:t xml:space="preserve"> (</w:t>
      </w:r>
      <w:r>
        <w:t>dále jen u</w:t>
      </w:r>
      <w:r w:rsidRPr="007D6A74">
        <w:t xml:space="preserve">kazatele). </w:t>
      </w:r>
    </w:p>
    <w:p w:rsidR="00AB22F4" w:rsidRPr="007D6A74" w:rsidRDefault="00AB22F4" w:rsidP="007B7F19">
      <w:pPr>
        <w:pStyle w:val="BodyText"/>
      </w:pPr>
    </w:p>
    <w:p w:rsidR="00AB22F4" w:rsidRPr="007D6A74" w:rsidRDefault="00AB22F4" w:rsidP="00457140">
      <w:pPr>
        <w:jc w:val="both"/>
        <w:rPr>
          <w:b/>
        </w:rPr>
      </w:pPr>
      <w:r w:rsidRPr="007D6A74">
        <w:rPr>
          <w:b/>
        </w:rPr>
        <w:t xml:space="preserve">Aktualizace výpočtu </w:t>
      </w:r>
      <w:r>
        <w:rPr>
          <w:b/>
        </w:rPr>
        <w:t>u</w:t>
      </w:r>
      <w:r w:rsidRPr="007D6A74">
        <w:rPr>
          <w:b/>
        </w:rPr>
        <w:t>kazatelů pro přezkoumání hospodaření za rok 2012</w:t>
      </w:r>
    </w:p>
    <w:p w:rsidR="00AB22F4" w:rsidRPr="007D6A74" w:rsidRDefault="00AB22F4" w:rsidP="00457140">
      <w:pPr>
        <w:jc w:val="both"/>
      </w:pPr>
    </w:p>
    <w:p w:rsidR="00AB22F4" w:rsidRPr="007D6A74" w:rsidRDefault="00AB22F4" w:rsidP="000C1AF3">
      <w:pPr>
        <w:jc w:val="both"/>
      </w:pPr>
      <w:r w:rsidRPr="007D6A74">
        <w:t xml:space="preserve">Pro přezkoumání hospodaření územních celků za rok 2012 byly </w:t>
      </w:r>
      <w:r>
        <w:t>u</w:t>
      </w:r>
      <w:r w:rsidRPr="007D6A74">
        <w:t xml:space="preserve">kazatele Ministerstvem financí ČR formálně upraveny tak, aby názvy účtů pohledávek a závazků vstupující do výpočtu </w:t>
      </w:r>
      <w:r>
        <w:t>u</w:t>
      </w:r>
      <w:r w:rsidRPr="007D6A74">
        <w:t xml:space="preserve">kazatelů, byly v souladu s názvy </w:t>
      </w:r>
      <w:r>
        <w:t xml:space="preserve">účtů </w:t>
      </w:r>
      <w:r w:rsidRPr="007D6A74">
        <w:t xml:space="preserve">uvedenými ve směrné účtové osnově podle přílohy č. 7 k vyhlášce č. 410/2009 Sb., kterou se provádějí některá ustanovení zákona č. 563/1991 Sb., o účetnictví, ve znění pozdějších předpisů, pro některé vybrané účetní jednotky, platné pro rok 2012. </w:t>
      </w:r>
    </w:p>
    <w:p w:rsidR="00AB22F4" w:rsidRPr="007D6A74" w:rsidRDefault="00AB22F4" w:rsidP="00431F56">
      <w:pPr>
        <w:pStyle w:val="BodyText"/>
      </w:pPr>
    </w:p>
    <w:p w:rsidR="00AB22F4" w:rsidRPr="007D6A74" w:rsidRDefault="00AB22F4" w:rsidP="00431F56">
      <w:pPr>
        <w:jc w:val="both"/>
      </w:pPr>
      <w:r w:rsidRPr="007D6A74">
        <w:t xml:space="preserve">I pro přezkoumání hospodaření za rok 2012 platí, že </w:t>
      </w:r>
      <w:r>
        <w:t>u</w:t>
      </w:r>
      <w:r w:rsidRPr="007D6A74">
        <w:t>kazatele vypočte územní celek</w:t>
      </w:r>
      <w:r>
        <w:t>,</w:t>
      </w:r>
      <w:r w:rsidRPr="007D6A74">
        <w:t xml:space="preserve"> a tento výpočet předá auditorovi ke kontrole. Auditor, který vykonává přezkoumání hospodaření daného územního celku, provede svůj nezávislý výpočet, který s výpočtem územního celku porovná. </w:t>
      </w:r>
    </w:p>
    <w:p w:rsidR="00AB22F4" w:rsidRPr="007D6A74" w:rsidRDefault="00AB22F4" w:rsidP="00431F56">
      <w:pPr>
        <w:jc w:val="both"/>
      </w:pPr>
    </w:p>
    <w:p w:rsidR="00AB22F4" w:rsidRPr="007D6A74" w:rsidRDefault="00AB22F4" w:rsidP="00431F56">
      <w:pPr>
        <w:jc w:val="both"/>
      </w:pPr>
      <w:r>
        <w:t>V komentáři k poměrovým u</w:t>
      </w:r>
      <w:r w:rsidRPr="007D6A74">
        <w:t>kazatelům ve Zprávě o výsledku přezkoumání hospodaření územního celku auditor popíše:</w:t>
      </w:r>
    </w:p>
    <w:p w:rsidR="00AB22F4" w:rsidRPr="007D6A74" w:rsidRDefault="00AB22F4" w:rsidP="00431F56">
      <w:pPr>
        <w:jc w:val="both"/>
      </w:pPr>
    </w:p>
    <w:p w:rsidR="00AB22F4" w:rsidRPr="007D6A74" w:rsidRDefault="00AB22F4" w:rsidP="00725BA4">
      <w:pPr>
        <w:pStyle w:val="ListParagraph"/>
        <w:numPr>
          <w:ilvl w:val="0"/>
          <w:numId w:val="46"/>
        </w:numPr>
        <w:ind w:left="426" w:hanging="426"/>
        <w:jc w:val="both"/>
        <w:rPr>
          <w:rFonts w:ascii="Times New Roman" w:hAnsi="Times New Roman"/>
          <w:sz w:val="24"/>
          <w:lang w:val="cs-CZ"/>
        </w:rPr>
      </w:pPr>
      <w:r w:rsidRPr="007D6A74">
        <w:rPr>
          <w:rFonts w:ascii="Times New Roman" w:hAnsi="Times New Roman"/>
          <w:sz w:val="24"/>
          <w:lang w:val="cs-CZ"/>
        </w:rPr>
        <w:t>případné významné odchylky mezi výpočtem provedeným územním celkem a auditorem. Zjišt</w:t>
      </w:r>
      <w:r>
        <w:rPr>
          <w:rFonts w:ascii="Times New Roman" w:hAnsi="Times New Roman"/>
          <w:sz w:val="24"/>
          <w:lang w:val="cs-CZ"/>
        </w:rPr>
        <w:t xml:space="preserve">ěné rozdíly musí </w:t>
      </w:r>
      <w:r w:rsidRPr="007D6A74">
        <w:rPr>
          <w:rFonts w:ascii="Times New Roman" w:hAnsi="Times New Roman"/>
          <w:sz w:val="24"/>
          <w:lang w:val="cs-CZ"/>
        </w:rPr>
        <w:t xml:space="preserve">auditor před jejich uvedením ve Zprávě o výsledku přezkoumání hospodaření prověřit a s územním celkem odsouhlasit.  </w:t>
      </w:r>
    </w:p>
    <w:p w:rsidR="00AB22F4" w:rsidRPr="007D6A74" w:rsidRDefault="00AB22F4" w:rsidP="007D6A74">
      <w:pPr>
        <w:jc w:val="both"/>
      </w:pPr>
    </w:p>
    <w:p w:rsidR="00AB22F4" w:rsidRDefault="00AB22F4" w:rsidP="006B5D7A">
      <w:pPr>
        <w:jc w:val="both"/>
      </w:pPr>
      <w:r w:rsidRPr="007D6A74">
        <w:t>Tento popis může</w:t>
      </w:r>
      <w:r>
        <w:t xml:space="preserve"> mít např. následující formu: </w:t>
      </w:r>
      <w:r w:rsidRPr="00B83A38">
        <w:rPr>
          <w:i/>
        </w:rPr>
        <w:t>„Při kontrole výpočtu podílu závazků na rozpočtu územního celku bylo zjištěno, že územní celek nezahrnul do tohoto výpočtu hodnotu krátkodobých úvěrů. Pokud by zůstatek krátkodobých úvěrů do výpočtu zahrnut byl, změnila by se výsledná hodnota ukazatele u podílu závazků na rozpočtu územního celku z …% na …%“</w:t>
      </w:r>
      <w:r w:rsidRPr="007D6A74">
        <w:t>.</w:t>
      </w:r>
    </w:p>
    <w:p w:rsidR="00AB22F4" w:rsidRDefault="00AB22F4" w:rsidP="006B5D7A">
      <w:pPr>
        <w:jc w:val="both"/>
      </w:pPr>
    </w:p>
    <w:p w:rsidR="00AB22F4" w:rsidRPr="006D09CD" w:rsidRDefault="00AB22F4" w:rsidP="007D6A74">
      <w:pPr>
        <w:pStyle w:val="ListParagraph"/>
        <w:numPr>
          <w:ilvl w:val="0"/>
          <w:numId w:val="46"/>
        </w:numPr>
        <w:ind w:left="426" w:hanging="426"/>
        <w:jc w:val="both"/>
        <w:rPr>
          <w:rFonts w:ascii="Times New Roman" w:hAnsi="Times New Roman"/>
          <w:sz w:val="24"/>
          <w:lang w:val="cs-CZ"/>
        </w:rPr>
      </w:pPr>
      <w:r>
        <w:rPr>
          <w:rFonts w:ascii="Times New Roman" w:hAnsi="Times New Roman"/>
          <w:sz w:val="24"/>
          <w:lang w:val="cs-CZ"/>
        </w:rPr>
        <w:t>i</w:t>
      </w:r>
      <w:r w:rsidRPr="006D09CD">
        <w:rPr>
          <w:rFonts w:ascii="Times New Roman" w:hAnsi="Times New Roman"/>
          <w:sz w:val="24"/>
          <w:lang w:val="cs-CZ"/>
        </w:rPr>
        <w:t>nformaci o významný</w:t>
      </w:r>
      <w:r>
        <w:rPr>
          <w:rFonts w:ascii="Times New Roman" w:hAnsi="Times New Roman"/>
          <w:sz w:val="24"/>
          <w:lang w:val="cs-CZ"/>
        </w:rPr>
        <w:t>ch rozdílech výsledných hodnot u</w:t>
      </w:r>
      <w:r w:rsidRPr="006D09CD">
        <w:rPr>
          <w:rFonts w:ascii="Times New Roman" w:hAnsi="Times New Roman"/>
          <w:sz w:val="24"/>
          <w:lang w:val="cs-CZ"/>
        </w:rPr>
        <w:t xml:space="preserve">kazatelů při zohlednění zjištěných chyb a nedostatků klasifikovaných podle § 10 odst. 3, písm. b) a/nebo c). </w:t>
      </w:r>
    </w:p>
    <w:p w:rsidR="00AB22F4" w:rsidRDefault="00AB22F4" w:rsidP="007D6A74">
      <w:pPr>
        <w:pStyle w:val="BodyText"/>
      </w:pPr>
    </w:p>
    <w:p w:rsidR="00AB22F4" w:rsidRPr="00B23654" w:rsidRDefault="00AB22F4" w:rsidP="007D6A74">
      <w:pPr>
        <w:pStyle w:val="ListParagraph"/>
        <w:ind w:left="0"/>
        <w:jc w:val="both"/>
        <w:rPr>
          <w:rFonts w:ascii="Times New Roman" w:hAnsi="Times New Roman"/>
          <w:sz w:val="24"/>
          <w:lang w:val="cs-CZ"/>
        </w:rPr>
      </w:pPr>
      <w:r w:rsidRPr="00B23654">
        <w:rPr>
          <w:rFonts w:ascii="Times New Roman" w:hAnsi="Times New Roman"/>
          <w:sz w:val="24"/>
          <w:lang w:val="cs-CZ"/>
        </w:rPr>
        <w:t>Tato informace může mít např. následující formu: „</w:t>
      </w:r>
      <w:r w:rsidRPr="00B83A38">
        <w:rPr>
          <w:rFonts w:ascii="Times New Roman" w:hAnsi="Times New Roman"/>
          <w:i/>
          <w:sz w:val="24"/>
          <w:lang w:val="cs-CZ"/>
        </w:rPr>
        <w:t>Při zohlednění zjištěných chyb a nedostatků (např. podhodnocení odběratelů o ….. mil. Kč) podle § 10 odst. 3, písm. c) by se výsledná hodnota uk</w:t>
      </w:r>
      <w:r>
        <w:rPr>
          <w:rFonts w:ascii="Times New Roman" w:hAnsi="Times New Roman"/>
          <w:i/>
          <w:sz w:val="24"/>
          <w:lang w:val="cs-CZ"/>
        </w:rPr>
        <w:t>azatele</w:t>
      </w:r>
      <w:r w:rsidRPr="00B83A38">
        <w:rPr>
          <w:rFonts w:ascii="Times New Roman" w:hAnsi="Times New Roman"/>
          <w:i/>
          <w:sz w:val="24"/>
          <w:lang w:val="cs-CZ"/>
        </w:rPr>
        <w:t xml:space="preserve"> u podílu pohledávek na rozpočtu územního celku změnila z …% na …%“</w:t>
      </w:r>
      <w:r w:rsidRPr="00B23654">
        <w:rPr>
          <w:rFonts w:ascii="Times New Roman" w:hAnsi="Times New Roman"/>
          <w:sz w:val="24"/>
          <w:lang w:val="cs-CZ"/>
        </w:rPr>
        <w:t>.</w:t>
      </w:r>
    </w:p>
    <w:p w:rsidR="00AB22F4" w:rsidRDefault="00AB22F4" w:rsidP="00BD5CD5">
      <w:pPr>
        <w:tabs>
          <w:tab w:val="left" w:pos="6840"/>
        </w:tabs>
        <w:ind w:left="142" w:hanging="142"/>
        <w:jc w:val="both"/>
      </w:pPr>
    </w:p>
    <w:p w:rsidR="00AB22F4" w:rsidRDefault="00AB22F4" w:rsidP="00B83A38">
      <w:pPr>
        <w:jc w:val="both"/>
      </w:pPr>
      <w:r w:rsidRPr="00B83A38">
        <w:t>Pro vymezení pohledávek, závazků a majetku jsou části a položky uvedené</w:t>
      </w:r>
      <w:r>
        <w:t xml:space="preserve"> v algoritmu pro výpočet ukazatelů podle </w:t>
      </w:r>
      <w:r w:rsidRPr="007D6A74">
        <w:t xml:space="preserve">§ 10 odst. 4 písm. b) zákona o přezkoumání </w:t>
      </w:r>
      <w:r w:rsidRPr="00B83A38">
        <w:t xml:space="preserve">položkami rozvahy pro územní samosprávné celky, svazky obcí, </w:t>
      </w:r>
      <w:r>
        <w:t>r</w:t>
      </w:r>
      <w:r w:rsidRPr="00B83A38">
        <w:t>egionální rady regionů soudržnosti</w:t>
      </w:r>
      <w:r>
        <w:t>.</w:t>
      </w:r>
    </w:p>
    <w:p w:rsidR="00AB22F4" w:rsidRDefault="00AB22F4" w:rsidP="00B83A38">
      <w:pPr>
        <w:jc w:val="both"/>
      </w:pPr>
    </w:p>
    <w:p w:rsidR="00AB22F4" w:rsidRPr="00313948" w:rsidRDefault="00AB22F4" w:rsidP="00313948">
      <w:pPr>
        <w:jc w:val="both"/>
        <w:rPr>
          <w:bCs/>
        </w:rPr>
      </w:pPr>
      <w:r w:rsidRPr="00313948">
        <w:rPr>
          <w:bCs/>
        </w:rPr>
        <w:t>Algoritmus pro výpočet ukazatelů podle ustanovení § 10 odst. 4 písm. b) zákona č. 420/2004 Sb. pro přezkoumávání hospodaření za rok 2012 připravený Ministerstvem financí ČR najdete v e-příloze.</w:t>
      </w:r>
    </w:p>
    <w:p w:rsidR="00AB22F4" w:rsidRDefault="00AB22F4" w:rsidP="00313948">
      <w:pPr>
        <w:jc w:val="both"/>
        <w:rPr>
          <w:b/>
          <w:bCs/>
        </w:rPr>
      </w:pPr>
    </w:p>
    <w:p w:rsidR="00AB22F4" w:rsidRPr="00733A7E" w:rsidRDefault="00AB22F4" w:rsidP="00313948">
      <w:pPr>
        <w:jc w:val="both"/>
        <w:rPr>
          <w:b/>
        </w:rPr>
      </w:pPr>
      <w:r w:rsidRPr="00733A7E">
        <w:rPr>
          <w:b/>
        </w:rPr>
        <w:t>Martina Smetanová</w:t>
      </w:r>
    </w:p>
    <w:p w:rsidR="00AB22F4" w:rsidRDefault="00AB22F4" w:rsidP="00313948">
      <w:pPr>
        <w:jc w:val="both"/>
      </w:pPr>
      <w:r>
        <w:t>Členka Výboru pro veřejný sektor KA ČR</w:t>
      </w:r>
    </w:p>
    <w:p w:rsidR="00AB22F4" w:rsidRDefault="00AB22F4" w:rsidP="00313948">
      <w:pPr>
        <w:jc w:val="both"/>
      </w:pPr>
    </w:p>
    <w:p w:rsidR="00AB22F4" w:rsidRPr="00733A7E" w:rsidRDefault="00AB22F4" w:rsidP="00313948">
      <w:pPr>
        <w:jc w:val="both"/>
        <w:rPr>
          <w:b/>
        </w:rPr>
      </w:pPr>
      <w:r w:rsidRPr="00733A7E">
        <w:rPr>
          <w:b/>
        </w:rPr>
        <w:t>Vladimír Remeš</w:t>
      </w:r>
    </w:p>
    <w:p w:rsidR="00AB22F4" w:rsidRPr="00A72DBF" w:rsidRDefault="00AB22F4" w:rsidP="00313948">
      <w:pPr>
        <w:jc w:val="both"/>
      </w:pPr>
      <w:r>
        <w:t>Ministerstvo financí ČR</w:t>
      </w:r>
    </w:p>
    <w:p w:rsidR="00AB22F4" w:rsidRPr="00B83A38" w:rsidRDefault="00AB22F4" w:rsidP="00B83A38">
      <w:pPr>
        <w:jc w:val="both"/>
      </w:pPr>
    </w:p>
    <w:p w:rsidR="00AB22F4" w:rsidRDefault="00AB22F4" w:rsidP="00403933">
      <w:pPr>
        <w:jc w:val="both"/>
        <w:rPr>
          <w:b/>
          <w:bCs/>
        </w:rPr>
      </w:pPr>
    </w:p>
    <w:p w:rsidR="00AB22F4" w:rsidRDefault="00AB22F4" w:rsidP="00403933">
      <w:pPr>
        <w:jc w:val="both"/>
        <w:rPr>
          <w:b/>
          <w:bCs/>
        </w:rPr>
      </w:pPr>
    </w:p>
    <w:p w:rsidR="00AB22F4" w:rsidRDefault="00AB22F4" w:rsidP="00403933">
      <w:pPr>
        <w:jc w:val="both"/>
        <w:rPr>
          <w:b/>
          <w:bCs/>
        </w:rPr>
      </w:pPr>
      <w:r w:rsidRPr="00A545C8">
        <w:rPr>
          <w:b/>
          <w:bCs/>
        </w:rPr>
        <w:t>Příloha</w:t>
      </w:r>
    </w:p>
    <w:p w:rsidR="00AB22F4" w:rsidRDefault="00AB22F4" w:rsidP="00403933">
      <w:pPr>
        <w:jc w:val="both"/>
        <w:rPr>
          <w:b/>
          <w:bCs/>
        </w:rPr>
      </w:pPr>
    </w:p>
    <w:p w:rsidR="00AB22F4" w:rsidRPr="009C4833" w:rsidRDefault="00AB22F4" w:rsidP="00403933">
      <w:pPr>
        <w:jc w:val="both"/>
        <w:rPr>
          <w:b/>
          <w:bCs/>
        </w:rPr>
      </w:pPr>
      <w:r w:rsidRPr="009C4833">
        <w:rPr>
          <w:b/>
          <w:bCs/>
        </w:rPr>
        <w:t>Algoritmus pro výpočet ukazatelů podle ustanovení § 10 odst. 4 písm. b) zákona č. 420/2004 Sb. pro přezkoumávání hospodaření za rok 2012 připravený Ministerstvem financí ČR</w:t>
      </w:r>
    </w:p>
    <w:p w:rsidR="00AB22F4" w:rsidRPr="009A51A3" w:rsidRDefault="00AB22F4" w:rsidP="00926186">
      <w:pPr>
        <w:jc w:val="both"/>
      </w:pPr>
    </w:p>
    <w:p w:rsidR="00AB22F4" w:rsidRPr="009A51A3" w:rsidRDefault="00AB22F4" w:rsidP="007A5908">
      <w:pPr>
        <w:pStyle w:val="Heading2"/>
        <w:numPr>
          <w:ilvl w:val="0"/>
          <w:numId w:val="38"/>
        </w:numPr>
        <w:tabs>
          <w:tab w:val="clear" w:pos="1080"/>
        </w:tabs>
        <w:spacing w:before="0" w:after="0"/>
        <w:ind w:left="426" w:hanging="426"/>
        <w:jc w:val="both"/>
        <w:rPr>
          <w:rFonts w:ascii="Times New Roman" w:hAnsi="Times New Roman" w:cs="Times New Roman"/>
          <w:color w:val="auto"/>
          <w:lang w:val="cs-CZ"/>
        </w:rPr>
      </w:pPr>
      <w:r w:rsidRPr="009A51A3">
        <w:rPr>
          <w:rFonts w:ascii="Times New Roman" w:hAnsi="Times New Roman" w:cs="Times New Roman"/>
          <w:color w:val="auto"/>
          <w:lang w:val="cs-CZ"/>
        </w:rPr>
        <w:t>Podíl pohledávek na rozpočtu</w:t>
      </w:r>
    </w:p>
    <w:p w:rsidR="00AB22F4" w:rsidRPr="00690F8F" w:rsidRDefault="00AB22F4" w:rsidP="00926186">
      <w:pPr>
        <w:jc w:val="center"/>
        <w:rPr>
          <w:b/>
          <w:u w:val="single"/>
        </w:rPr>
      </w:pPr>
      <w:r w:rsidRPr="00690F8F">
        <w:rPr>
          <w:b/>
          <w:u w:val="single"/>
        </w:rPr>
        <w:t xml:space="preserve">A </w:t>
      </w:r>
      <w:r>
        <w:rPr>
          <w:b/>
          <w:u w:val="single"/>
        </w:rPr>
        <w:t>x</w:t>
      </w:r>
      <w:r w:rsidRPr="00690F8F">
        <w:rPr>
          <w:b/>
          <w:u w:val="single"/>
        </w:rPr>
        <w:t xml:space="preserve"> 100 (%)</w:t>
      </w:r>
    </w:p>
    <w:p w:rsidR="00AB22F4" w:rsidRPr="00690F8F" w:rsidRDefault="00AB22F4" w:rsidP="0055251E">
      <w:pPr>
        <w:jc w:val="center"/>
        <w:rPr>
          <w:b/>
        </w:rPr>
      </w:pPr>
      <w:r w:rsidRPr="00690F8F">
        <w:rPr>
          <w:b/>
        </w:rPr>
        <w:t>B</w:t>
      </w:r>
    </w:p>
    <w:p w:rsidR="00AB22F4" w:rsidRPr="009A51A3" w:rsidRDefault="00AB22F4" w:rsidP="009A51A3">
      <w:pPr>
        <w:pStyle w:val="ListParagraph"/>
        <w:numPr>
          <w:ilvl w:val="0"/>
          <w:numId w:val="41"/>
        </w:numPr>
        <w:tabs>
          <w:tab w:val="left" w:pos="1920"/>
        </w:tabs>
        <w:ind w:left="426" w:hanging="426"/>
        <w:jc w:val="both"/>
        <w:rPr>
          <w:rFonts w:ascii="Times New Roman" w:hAnsi="Times New Roman"/>
          <w:b/>
          <w:sz w:val="24"/>
          <w:lang w:val="cs-CZ"/>
        </w:rPr>
      </w:pPr>
      <w:r w:rsidRPr="009A51A3">
        <w:rPr>
          <w:rFonts w:ascii="Times New Roman" w:hAnsi="Times New Roman"/>
          <w:b/>
          <w:sz w:val="24"/>
          <w:lang w:val="cs-CZ"/>
        </w:rPr>
        <w:t>Vymezení pohledávek</w:t>
      </w:r>
    </w:p>
    <w:p w:rsidR="00AB22F4" w:rsidRPr="00403933" w:rsidRDefault="00AB22F4" w:rsidP="00926186">
      <w:pPr>
        <w:tabs>
          <w:tab w:val="left" w:pos="1920"/>
        </w:tabs>
        <w:jc w:val="both"/>
        <w:rPr>
          <w:sz w:val="16"/>
          <w:szCs w:val="16"/>
        </w:rPr>
      </w:pPr>
    </w:p>
    <w:tbl>
      <w:tblPr>
        <w:tblW w:w="0" w:type="auto"/>
        <w:tblBorders>
          <w:bottom w:val="single" w:sz="4" w:space="0" w:color="72C7E7"/>
          <w:insideH w:val="single" w:sz="4" w:space="0" w:color="72C7E7"/>
        </w:tblBorders>
        <w:tblCellMar>
          <w:top w:w="28" w:type="dxa"/>
          <w:left w:w="28" w:type="dxa"/>
          <w:bottom w:w="28" w:type="dxa"/>
          <w:right w:w="28" w:type="dxa"/>
        </w:tblCellMar>
        <w:tblLook w:val="00A0"/>
      </w:tblPr>
      <w:tblGrid>
        <w:gridCol w:w="2580"/>
        <w:gridCol w:w="6546"/>
      </w:tblGrid>
      <w:tr w:rsidR="00AB22F4" w:rsidRPr="00D975C9" w:rsidTr="00094312">
        <w:tc>
          <w:tcPr>
            <w:tcW w:w="2580" w:type="dxa"/>
            <w:shd w:val="clear" w:color="auto" w:fill="72C7E7"/>
          </w:tcPr>
          <w:p w:rsidR="00AB22F4" w:rsidRPr="00094312" w:rsidRDefault="00AB22F4" w:rsidP="00094312">
            <w:pPr>
              <w:tabs>
                <w:tab w:val="left" w:pos="1920"/>
              </w:tabs>
              <w:rPr>
                <w:b/>
                <w:color w:val="FFFFFF"/>
                <w:sz w:val="19"/>
              </w:rPr>
            </w:pPr>
            <w:r w:rsidRPr="00094312">
              <w:rPr>
                <w:b/>
                <w:color w:val="FFFFFF"/>
                <w:sz w:val="19"/>
              </w:rPr>
              <w:t>Dlouhodobé pohledávky (NETTO)</w:t>
            </w:r>
          </w:p>
        </w:tc>
        <w:tc>
          <w:tcPr>
            <w:tcW w:w="6546" w:type="dxa"/>
            <w:shd w:val="clear" w:color="auto" w:fill="72C7E7"/>
          </w:tcPr>
          <w:p w:rsidR="00AB22F4" w:rsidRPr="00094312" w:rsidRDefault="00AB22F4" w:rsidP="00094312">
            <w:pPr>
              <w:tabs>
                <w:tab w:val="left" w:pos="1920"/>
              </w:tabs>
              <w:rPr>
                <w:b/>
                <w:color w:val="FFFFFF"/>
                <w:sz w:val="19"/>
              </w:rPr>
            </w:pPr>
            <w:r w:rsidRPr="00094312">
              <w:rPr>
                <w:b/>
                <w:color w:val="FFFFFF"/>
                <w:sz w:val="19"/>
              </w:rPr>
              <w:t>Komentář</w:t>
            </w:r>
          </w:p>
        </w:tc>
      </w:tr>
      <w:tr w:rsidR="00AB22F4" w:rsidRPr="00D975C9" w:rsidTr="00094312">
        <w:tc>
          <w:tcPr>
            <w:tcW w:w="2580" w:type="dxa"/>
            <w:shd w:val="clear" w:color="auto" w:fill="FFFFFF"/>
          </w:tcPr>
          <w:p w:rsidR="00AB22F4" w:rsidRPr="00094312" w:rsidRDefault="00AB22F4" w:rsidP="00094312">
            <w:pPr>
              <w:tabs>
                <w:tab w:val="left" w:pos="1920"/>
              </w:tabs>
              <w:jc w:val="both"/>
              <w:rPr>
                <w:sz w:val="19"/>
              </w:rPr>
            </w:pPr>
          </w:p>
        </w:tc>
        <w:tc>
          <w:tcPr>
            <w:tcW w:w="6546" w:type="dxa"/>
            <w:shd w:val="clear" w:color="auto" w:fill="FFFFFF"/>
          </w:tcPr>
          <w:p w:rsidR="00AB22F4" w:rsidRPr="00094312" w:rsidRDefault="00AB22F4" w:rsidP="00094312">
            <w:pPr>
              <w:tabs>
                <w:tab w:val="left" w:pos="1920"/>
              </w:tabs>
              <w:rPr>
                <w:sz w:val="19"/>
              </w:rPr>
            </w:pPr>
            <w:r w:rsidRPr="00094312">
              <w:rPr>
                <w:sz w:val="19"/>
              </w:rPr>
              <w:t>Dlouhodobé pohledávky vztahující se pouze k následujícímu rozpočtovému roku pokud výše splátek k inkasu v následujícím roce je stanovena smlouvou resp. splátkovým kalendářem.</w:t>
            </w:r>
          </w:p>
        </w:tc>
      </w:tr>
      <w:tr w:rsidR="00AB22F4" w:rsidRPr="00D975C9" w:rsidTr="00094312">
        <w:tc>
          <w:tcPr>
            <w:tcW w:w="9126" w:type="dxa"/>
            <w:gridSpan w:val="2"/>
            <w:shd w:val="clear" w:color="auto" w:fill="FFFFFF"/>
          </w:tcPr>
          <w:p w:rsidR="00AB22F4" w:rsidRPr="00094312" w:rsidRDefault="00AB22F4" w:rsidP="00094312">
            <w:pPr>
              <w:tabs>
                <w:tab w:val="left" w:pos="1920"/>
              </w:tabs>
              <w:jc w:val="both"/>
              <w:rPr>
                <w:sz w:val="19"/>
              </w:rPr>
            </w:pPr>
            <w:r w:rsidRPr="00094312">
              <w:rPr>
                <w:sz w:val="19"/>
              </w:rPr>
              <w:t>Do komentáře k tomuto poměrovému ukazateli je nutné uvést celkovou hodnotu dlouhodobých pohledávek územního celku.</w:t>
            </w:r>
          </w:p>
        </w:tc>
      </w:tr>
    </w:tbl>
    <w:p w:rsidR="00AB22F4" w:rsidRDefault="00AB22F4" w:rsidP="00926186">
      <w:pPr>
        <w:tabs>
          <w:tab w:val="left" w:pos="1920"/>
        </w:tabs>
        <w:jc w:val="both"/>
      </w:pPr>
    </w:p>
    <w:tbl>
      <w:tblPr>
        <w:tblW w:w="0" w:type="auto"/>
        <w:tblBorders>
          <w:bottom w:val="single" w:sz="4" w:space="0" w:color="72C7E7"/>
          <w:insideH w:val="single" w:sz="4" w:space="0" w:color="72C7E7"/>
        </w:tblBorders>
        <w:tblCellMar>
          <w:top w:w="28" w:type="dxa"/>
          <w:left w:w="28" w:type="dxa"/>
          <w:bottom w:w="28" w:type="dxa"/>
          <w:right w:w="28" w:type="dxa"/>
        </w:tblCellMar>
        <w:tblLook w:val="00A0"/>
      </w:tblPr>
      <w:tblGrid>
        <w:gridCol w:w="2580"/>
        <w:gridCol w:w="6262"/>
      </w:tblGrid>
      <w:tr w:rsidR="00AB22F4" w:rsidRPr="00D975C9" w:rsidTr="00094312">
        <w:tc>
          <w:tcPr>
            <w:tcW w:w="2580" w:type="dxa"/>
            <w:shd w:val="clear" w:color="auto" w:fill="72C7E7"/>
          </w:tcPr>
          <w:p w:rsidR="00AB22F4" w:rsidRPr="00094312" w:rsidRDefault="00AB22F4" w:rsidP="00094312">
            <w:pPr>
              <w:tabs>
                <w:tab w:val="left" w:pos="1920"/>
              </w:tabs>
              <w:rPr>
                <w:b/>
                <w:color w:val="FFFFFF"/>
                <w:sz w:val="19"/>
              </w:rPr>
            </w:pPr>
            <w:r w:rsidRPr="00094312">
              <w:rPr>
                <w:b/>
                <w:color w:val="FFFFFF"/>
                <w:sz w:val="19"/>
              </w:rPr>
              <w:t>Krátkodobé pohledávky (NETTO)</w:t>
            </w:r>
          </w:p>
        </w:tc>
        <w:tc>
          <w:tcPr>
            <w:tcW w:w="6262" w:type="dxa"/>
            <w:shd w:val="clear" w:color="auto" w:fill="72C7E7"/>
          </w:tcPr>
          <w:p w:rsidR="00AB22F4" w:rsidRPr="00094312" w:rsidRDefault="00AB22F4" w:rsidP="00094312">
            <w:pPr>
              <w:tabs>
                <w:tab w:val="left" w:pos="1920"/>
              </w:tabs>
              <w:jc w:val="both"/>
              <w:rPr>
                <w:b/>
                <w:color w:val="FFFFFF"/>
                <w:sz w:val="19"/>
              </w:rPr>
            </w:pPr>
            <w:r w:rsidRPr="00094312">
              <w:rPr>
                <w:b/>
                <w:color w:val="FFFFFF"/>
                <w:sz w:val="19"/>
              </w:rPr>
              <w:t>Účet</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 xml:space="preserve">311 – </w:t>
            </w:r>
            <w:r>
              <w:rPr>
                <w:sz w:val="19"/>
              </w:rPr>
              <w:t>O</w:t>
            </w:r>
            <w:r w:rsidRPr="00094312">
              <w:rPr>
                <w:sz w:val="19"/>
              </w:rPr>
              <w:t>dběratelé</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312 – směnky k inkasu</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313 – pohledávky za eskontované cenné papíry</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315 – jiné pohledávky z hlavní činnosti</w:t>
            </w:r>
          </w:p>
        </w:tc>
      </w:tr>
      <w:tr w:rsidR="00AB22F4" w:rsidRPr="00D975C9" w:rsidTr="00094312">
        <w:tc>
          <w:tcPr>
            <w:tcW w:w="2580" w:type="dxa"/>
            <w:shd w:val="clear" w:color="auto" w:fill="FFFFFF"/>
          </w:tcPr>
          <w:p w:rsidR="00AB22F4" w:rsidRPr="00094312" w:rsidRDefault="00AB22F4" w:rsidP="00094312">
            <w:pPr>
              <w:tabs>
                <w:tab w:val="left" w:pos="1920"/>
              </w:tabs>
              <w:rPr>
                <w:rFonts w:ascii="Arial" w:hAnsi="Arial"/>
                <w:sz w:val="19"/>
              </w:rPr>
            </w:pPr>
          </w:p>
        </w:tc>
        <w:tc>
          <w:tcPr>
            <w:tcW w:w="6262" w:type="dxa"/>
            <w:shd w:val="clear" w:color="auto" w:fill="FFFFFF"/>
          </w:tcPr>
          <w:p w:rsidR="00AB22F4" w:rsidRPr="00094312" w:rsidRDefault="00AB22F4" w:rsidP="00094312">
            <w:pPr>
              <w:tabs>
                <w:tab w:val="left" w:pos="1920"/>
              </w:tabs>
              <w:rPr>
                <w:rFonts w:ascii="Arial" w:hAnsi="Arial"/>
                <w:sz w:val="19"/>
              </w:rPr>
            </w:pPr>
            <w:r w:rsidRPr="00094312">
              <w:rPr>
                <w:sz w:val="19"/>
              </w:rPr>
              <w:t>316 – poskytnuté návratné finanční výpomoci krátkodobé</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317 – krátkodobé pohledávky z postoupených úvěrů</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335 – pohledávky za zaměstnanci</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336 – zúčtování s institucemi sociálního zabezpečení a zdravotního pojištění</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342 – jiné přímé daně</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343 – daň z přidané hodnoty</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346 – pohledávky za vybranými ústředními vládními institucemi</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348 – pohledávky za vybranými místními vládními institucemi</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361 – krátkodobé pohledávky z ručení</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363 – pevné termínové operace a obce</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365 – pohledávky z finančních zajištění</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367 – pohledávky z vydaných dluhopisů</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371 – krátkodobé pohledávky z nástrojů spolufinancovaných ze zahraničí</w:t>
            </w:r>
          </w:p>
        </w:tc>
      </w:tr>
      <w:tr w:rsidR="00AB22F4" w:rsidRPr="00D975C9" w:rsidTr="00094312">
        <w:tc>
          <w:tcPr>
            <w:tcW w:w="2580" w:type="dxa"/>
            <w:shd w:val="clear" w:color="auto" w:fill="FFFFFF"/>
          </w:tcPr>
          <w:p w:rsidR="00AB22F4" w:rsidRPr="00094312" w:rsidRDefault="00AB22F4" w:rsidP="00094312">
            <w:pPr>
              <w:tabs>
                <w:tab w:val="left" w:pos="1920"/>
              </w:tabs>
              <w:rPr>
                <w:sz w:val="19"/>
              </w:rPr>
            </w:pPr>
          </w:p>
        </w:tc>
        <w:tc>
          <w:tcPr>
            <w:tcW w:w="6262" w:type="dxa"/>
            <w:shd w:val="clear" w:color="auto" w:fill="FFFFFF"/>
          </w:tcPr>
          <w:p w:rsidR="00AB22F4" w:rsidRPr="00094312" w:rsidRDefault="00AB22F4" w:rsidP="00094312">
            <w:pPr>
              <w:tabs>
                <w:tab w:val="left" w:pos="1920"/>
              </w:tabs>
              <w:rPr>
                <w:sz w:val="19"/>
              </w:rPr>
            </w:pPr>
            <w:r w:rsidRPr="00094312">
              <w:rPr>
                <w:sz w:val="19"/>
              </w:rPr>
              <w:t>377 – ostatní krátkodobé pohledávky</w:t>
            </w:r>
          </w:p>
        </w:tc>
      </w:tr>
    </w:tbl>
    <w:p w:rsidR="00AB22F4" w:rsidRDefault="00AB22F4" w:rsidP="001A659D">
      <w:pPr>
        <w:tabs>
          <w:tab w:val="left" w:pos="5400"/>
          <w:tab w:val="left" w:pos="5760"/>
        </w:tabs>
        <w:jc w:val="both"/>
      </w:pPr>
    </w:p>
    <w:p w:rsidR="00AB22F4" w:rsidRDefault="00AB22F4" w:rsidP="007A5908">
      <w:pPr>
        <w:pStyle w:val="ListParagraph"/>
        <w:numPr>
          <w:ilvl w:val="0"/>
          <w:numId w:val="41"/>
        </w:numPr>
        <w:tabs>
          <w:tab w:val="left" w:pos="1920"/>
        </w:tabs>
        <w:ind w:left="426" w:hanging="426"/>
        <w:jc w:val="both"/>
        <w:rPr>
          <w:rFonts w:ascii="Times New Roman" w:hAnsi="Times New Roman"/>
          <w:b/>
          <w:sz w:val="24"/>
          <w:lang w:val="cs-CZ"/>
        </w:rPr>
      </w:pPr>
      <w:r w:rsidRPr="009A51A3">
        <w:rPr>
          <w:rFonts w:ascii="Times New Roman" w:hAnsi="Times New Roman"/>
          <w:b/>
          <w:sz w:val="24"/>
          <w:lang w:val="cs-CZ"/>
        </w:rPr>
        <w:t xml:space="preserve">Vymezení </w:t>
      </w:r>
      <w:r>
        <w:rPr>
          <w:rFonts w:ascii="Times New Roman" w:hAnsi="Times New Roman"/>
          <w:b/>
          <w:sz w:val="24"/>
          <w:lang w:val="cs-CZ"/>
        </w:rPr>
        <w:t>rozpočtových příjmů</w:t>
      </w:r>
    </w:p>
    <w:p w:rsidR="00AB22F4" w:rsidRDefault="00AB22F4" w:rsidP="007A5908">
      <w:pPr>
        <w:tabs>
          <w:tab w:val="left" w:pos="1920"/>
        </w:tabs>
        <w:jc w:val="both"/>
        <w:rPr>
          <w:b/>
        </w:rPr>
      </w:pPr>
    </w:p>
    <w:p w:rsidR="00AB22F4" w:rsidRDefault="00AB22F4" w:rsidP="007A5908">
      <w:pPr>
        <w:jc w:val="both"/>
      </w:pPr>
      <w:r>
        <w:t>Příjmy celkem po konsolidaci + zisk po zdanění z hospodářské činnosti</w:t>
      </w:r>
    </w:p>
    <w:p w:rsidR="00AB22F4" w:rsidRDefault="00AB22F4" w:rsidP="007A5908">
      <w:pPr>
        <w:jc w:val="both"/>
      </w:pPr>
    </w:p>
    <w:p w:rsidR="00AB22F4" w:rsidRDefault="00AB22F4" w:rsidP="00690F8F">
      <w:pPr>
        <w:pStyle w:val="Heading2"/>
        <w:numPr>
          <w:ilvl w:val="0"/>
          <w:numId w:val="38"/>
        </w:numPr>
        <w:tabs>
          <w:tab w:val="clear" w:pos="1080"/>
        </w:tabs>
        <w:spacing w:before="0" w:after="0"/>
        <w:ind w:left="426" w:hanging="426"/>
        <w:jc w:val="both"/>
        <w:rPr>
          <w:rFonts w:ascii="Times New Roman" w:hAnsi="Times New Roman" w:cs="Times New Roman"/>
          <w:color w:val="auto"/>
          <w:lang w:val="cs-CZ"/>
        </w:rPr>
      </w:pPr>
      <w:r w:rsidRPr="007A5908">
        <w:rPr>
          <w:rFonts w:ascii="Times New Roman" w:hAnsi="Times New Roman" w:cs="Times New Roman"/>
          <w:color w:val="auto"/>
          <w:lang w:val="cs-CZ"/>
        </w:rPr>
        <w:t>Podíl závazků na rozpočtu</w:t>
      </w:r>
    </w:p>
    <w:p w:rsidR="00AB22F4" w:rsidRPr="00690F8F" w:rsidRDefault="00AB22F4" w:rsidP="00690F8F">
      <w:pPr>
        <w:tabs>
          <w:tab w:val="left" w:pos="1920"/>
        </w:tabs>
        <w:jc w:val="center"/>
        <w:rPr>
          <w:b/>
          <w:u w:val="single"/>
        </w:rPr>
      </w:pPr>
      <w:r w:rsidRPr="00690F8F">
        <w:rPr>
          <w:b/>
          <w:u w:val="single"/>
        </w:rPr>
        <w:t>C</w:t>
      </w:r>
      <w:r>
        <w:rPr>
          <w:b/>
          <w:u w:val="single"/>
        </w:rPr>
        <w:t xml:space="preserve"> </w:t>
      </w:r>
      <w:r>
        <w:rPr>
          <w:b/>
          <w:u w:val="single"/>
          <w:lang w:val="en-US"/>
        </w:rPr>
        <w:t xml:space="preserve">x </w:t>
      </w:r>
      <w:r w:rsidRPr="00690F8F">
        <w:rPr>
          <w:b/>
          <w:u w:val="single"/>
          <w:lang w:val="en-US"/>
        </w:rPr>
        <w:t>100</w:t>
      </w:r>
      <w:r w:rsidRPr="00690F8F">
        <w:rPr>
          <w:b/>
          <w:u w:val="single"/>
        </w:rPr>
        <w:t>%</w:t>
      </w:r>
    </w:p>
    <w:p w:rsidR="00AB22F4" w:rsidRDefault="00AB22F4" w:rsidP="00690F8F">
      <w:pPr>
        <w:tabs>
          <w:tab w:val="left" w:pos="1920"/>
        </w:tabs>
        <w:jc w:val="center"/>
        <w:rPr>
          <w:b/>
        </w:rPr>
      </w:pPr>
      <w:r>
        <w:rPr>
          <w:b/>
        </w:rPr>
        <w:t>B</w:t>
      </w:r>
    </w:p>
    <w:p w:rsidR="00AB22F4" w:rsidRPr="009A51A3" w:rsidRDefault="00AB22F4" w:rsidP="00690F8F">
      <w:pPr>
        <w:pStyle w:val="ListParagraph"/>
        <w:numPr>
          <w:ilvl w:val="0"/>
          <w:numId w:val="41"/>
        </w:numPr>
        <w:tabs>
          <w:tab w:val="left" w:pos="1920"/>
        </w:tabs>
        <w:ind w:left="426" w:hanging="426"/>
        <w:jc w:val="both"/>
        <w:rPr>
          <w:rFonts w:ascii="Times New Roman" w:hAnsi="Times New Roman"/>
          <w:b/>
          <w:sz w:val="24"/>
          <w:lang w:val="cs-CZ"/>
        </w:rPr>
      </w:pPr>
      <w:r w:rsidRPr="009A51A3">
        <w:rPr>
          <w:rFonts w:ascii="Times New Roman" w:hAnsi="Times New Roman"/>
          <w:b/>
          <w:sz w:val="24"/>
          <w:lang w:val="cs-CZ"/>
        </w:rPr>
        <w:t xml:space="preserve">Vymezení </w:t>
      </w:r>
      <w:r>
        <w:rPr>
          <w:rFonts w:ascii="Times New Roman" w:hAnsi="Times New Roman"/>
          <w:b/>
          <w:sz w:val="24"/>
          <w:lang w:val="cs-CZ"/>
        </w:rPr>
        <w:t>závazků</w:t>
      </w:r>
    </w:p>
    <w:tbl>
      <w:tblPr>
        <w:tblW w:w="0" w:type="auto"/>
        <w:tblBorders>
          <w:bottom w:val="single" w:sz="4" w:space="0" w:color="72C7E7"/>
          <w:insideH w:val="single" w:sz="4" w:space="0" w:color="72C7E7"/>
        </w:tblBorders>
        <w:tblCellMar>
          <w:top w:w="28" w:type="dxa"/>
          <w:left w:w="28" w:type="dxa"/>
          <w:bottom w:w="28" w:type="dxa"/>
          <w:right w:w="28" w:type="dxa"/>
        </w:tblCellMar>
        <w:tblLook w:val="00A0"/>
      </w:tblPr>
      <w:tblGrid>
        <w:gridCol w:w="2580"/>
        <w:gridCol w:w="6546"/>
      </w:tblGrid>
      <w:tr w:rsidR="00AB22F4" w:rsidRPr="00D975C9" w:rsidTr="00094312">
        <w:tc>
          <w:tcPr>
            <w:tcW w:w="2580" w:type="dxa"/>
            <w:shd w:val="clear" w:color="auto" w:fill="72C7E7"/>
          </w:tcPr>
          <w:p w:rsidR="00AB22F4" w:rsidRPr="00094312" w:rsidRDefault="00AB22F4" w:rsidP="00094312">
            <w:pPr>
              <w:tabs>
                <w:tab w:val="left" w:pos="1920"/>
              </w:tabs>
              <w:rPr>
                <w:b/>
                <w:color w:val="FFFFFF"/>
                <w:sz w:val="19"/>
              </w:rPr>
            </w:pPr>
            <w:r w:rsidRPr="00094312">
              <w:rPr>
                <w:b/>
                <w:color w:val="FFFFFF"/>
                <w:sz w:val="19"/>
              </w:rPr>
              <w:t xml:space="preserve">Dlouhodobé závazky </w:t>
            </w:r>
          </w:p>
        </w:tc>
        <w:tc>
          <w:tcPr>
            <w:tcW w:w="6546" w:type="dxa"/>
            <w:shd w:val="clear" w:color="auto" w:fill="72C7E7"/>
          </w:tcPr>
          <w:p w:rsidR="00AB22F4" w:rsidRPr="00094312" w:rsidRDefault="00AB22F4" w:rsidP="00094312">
            <w:pPr>
              <w:tabs>
                <w:tab w:val="left" w:pos="1920"/>
              </w:tabs>
              <w:rPr>
                <w:b/>
                <w:color w:val="FFFFFF"/>
                <w:sz w:val="19"/>
              </w:rPr>
            </w:pPr>
            <w:r w:rsidRPr="00094312">
              <w:rPr>
                <w:b/>
                <w:color w:val="FFFFFF"/>
                <w:sz w:val="19"/>
              </w:rPr>
              <w:t>Komentář</w:t>
            </w:r>
          </w:p>
        </w:tc>
      </w:tr>
      <w:tr w:rsidR="00AB22F4" w:rsidRPr="00D975C9" w:rsidTr="00094312">
        <w:tc>
          <w:tcPr>
            <w:tcW w:w="2580" w:type="dxa"/>
            <w:shd w:val="clear" w:color="auto" w:fill="FFFFFF"/>
          </w:tcPr>
          <w:p w:rsidR="00AB22F4" w:rsidRPr="00094312" w:rsidRDefault="00AB22F4" w:rsidP="00094312">
            <w:pPr>
              <w:tabs>
                <w:tab w:val="left" w:pos="1920"/>
              </w:tabs>
              <w:jc w:val="both"/>
              <w:rPr>
                <w:sz w:val="19"/>
              </w:rPr>
            </w:pPr>
          </w:p>
        </w:tc>
        <w:tc>
          <w:tcPr>
            <w:tcW w:w="6546" w:type="dxa"/>
            <w:shd w:val="clear" w:color="auto" w:fill="FFFFFF"/>
          </w:tcPr>
          <w:p w:rsidR="00AB22F4" w:rsidRPr="00094312" w:rsidRDefault="00AB22F4" w:rsidP="00094312">
            <w:pPr>
              <w:tabs>
                <w:tab w:val="left" w:pos="1920"/>
              </w:tabs>
              <w:rPr>
                <w:sz w:val="19"/>
              </w:rPr>
            </w:pPr>
            <w:r w:rsidRPr="00094312">
              <w:rPr>
                <w:sz w:val="19"/>
              </w:rPr>
              <w:t>Dlouhodobé závazky pouze do výše splátek stanovených ve splátkovém kalendáři resp. smlouvě v následujícím roce.</w:t>
            </w:r>
          </w:p>
        </w:tc>
      </w:tr>
      <w:tr w:rsidR="00AB22F4" w:rsidRPr="00D975C9" w:rsidTr="00094312">
        <w:tc>
          <w:tcPr>
            <w:tcW w:w="9126" w:type="dxa"/>
            <w:gridSpan w:val="2"/>
            <w:shd w:val="clear" w:color="auto" w:fill="FFFFFF"/>
          </w:tcPr>
          <w:p w:rsidR="00AB22F4" w:rsidRPr="00094312" w:rsidRDefault="00AB22F4" w:rsidP="00094312">
            <w:pPr>
              <w:tabs>
                <w:tab w:val="left" w:pos="1920"/>
              </w:tabs>
              <w:jc w:val="both"/>
              <w:rPr>
                <w:sz w:val="19"/>
              </w:rPr>
            </w:pPr>
            <w:r w:rsidRPr="00094312">
              <w:rPr>
                <w:sz w:val="19"/>
              </w:rPr>
              <w:t>Do komentáře k tomuto poměrovému ukazateli je nutné uvést celkovou hodnotu dlouhodobých závazků územního celku.</w:t>
            </w:r>
          </w:p>
        </w:tc>
      </w:tr>
    </w:tbl>
    <w:p w:rsidR="00AB22F4" w:rsidRDefault="00AB22F4" w:rsidP="00690F8F">
      <w:pPr>
        <w:rPr>
          <w:lang w:eastAsia="en-US"/>
        </w:rPr>
      </w:pPr>
    </w:p>
    <w:tbl>
      <w:tblPr>
        <w:tblW w:w="0" w:type="auto"/>
        <w:tblBorders>
          <w:bottom w:val="single" w:sz="4" w:space="0" w:color="72C7E7"/>
          <w:insideH w:val="single" w:sz="4" w:space="0" w:color="72C7E7"/>
        </w:tblBorders>
        <w:tblCellMar>
          <w:top w:w="28" w:type="dxa"/>
          <w:left w:w="28" w:type="dxa"/>
          <w:bottom w:w="28" w:type="dxa"/>
          <w:right w:w="28" w:type="dxa"/>
        </w:tblCellMar>
        <w:tblLook w:val="00A0"/>
      </w:tblPr>
      <w:tblGrid>
        <w:gridCol w:w="2438"/>
        <w:gridCol w:w="6404"/>
      </w:tblGrid>
      <w:tr w:rsidR="00AB22F4" w:rsidRPr="00D975C9" w:rsidTr="00094312">
        <w:tc>
          <w:tcPr>
            <w:tcW w:w="2438" w:type="dxa"/>
            <w:shd w:val="clear" w:color="auto" w:fill="72C7E7"/>
          </w:tcPr>
          <w:p w:rsidR="00AB22F4" w:rsidRPr="00094312" w:rsidRDefault="00AB22F4" w:rsidP="00094312">
            <w:pPr>
              <w:tabs>
                <w:tab w:val="left" w:pos="1920"/>
              </w:tabs>
              <w:rPr>
                <w:b/>
                <w:color w:val="FFFFFF"/>
                <w:sz w:val="19"/>
              </w:rPr>
            </w:pPr>
            <w:r w:rsidRPr="00094312">
              <w:rPr>
                <w:b/>
                <w:color w:val="FFFFFF"/>
                <w:sz w:val="19"/>
              </w:rPr>
              <w:t xml:space="preserve">Krátkodobé závazky </w:t>
            </w:r>
          </w:p>
        </w:tc>
        <w:tc>
          <w:tcPr>
            <w:tcW w:w="6404" w:type="dxa"/>
            <w:shd w:val="clear" w:color="auto" w:fill="72C7E7"/>
          </w:tcPr>
          <w:p w:rsidR="00AB22F4" w:rsidRPr="00094312" w:rsidRDefault="00AB22F4" w:rsidP="00094312">
            <w:pPr>
              <w:tabs>
                <w:tab w:val="left" w:pos="1920"/>
              </w:tabs>
              <w:jc w:val="both"/>
              <w:rPr>
                <w:b/>
                <w:color w:val="FFFFFF"/>
                <w:sz w:val="19"/>
              </w:rPr>
            </w:pPr>
            <w:r w:rsidRPr="00094312">
              <w:rPr>
                <w:b/>
                <w:color w:val="FFFFFF"/>
                <w:sz w:val="19"/>
              </w:rPr>
              <w:t>Účet</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281 – krátkodobé úvěry</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282 – eskontované krátkodobé dluhopisy (směnky)</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283 – krátkodobé závazky z vydaných dluhopisů</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289 – jiné krátkodobé půjčky</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321 – dodavatelů</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322 – směnky k inkasu</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325 – závazky z dělené správy a kaucí</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326 – přijaté návratné finanční výpomoci krátkodobé</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331 – zaměstnanci</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333 – jiné závazky vůči zaměstnancům</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336 – zúčtování s institucemi sociálního zabezpečení a zdravotního pojištění</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342 – jiné přímé daně</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343 – daň z přidané hodnoty</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345 – závazky k osobám mimo vybrané vládní instituce</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347 – závazky k vybraným ústředním vládním institucím</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349 – závazky k vybraným místním vládním institucím</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362 – krátkodobé závazky z ručení</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363 – pevné termínované operace a opce</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366 – závazky z finančního zajištění</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368 – závazky z upsaných nesplacených cenných papírů a podílů</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372 – krátkodobé závazky z nástrojů spolufinancovaných ze zahraničí</w:t>
            </w:r>
          </w:p>
        </w:tc>
      </w:tr>
      <w:tr w:rsidR="00AB22F4" w:rsidRPr="00D975C9" w:rsidTr="00094312">
        <w:tc>
          <w:tcPr>
            <w:tcW w:w="2438" w:type="dxa"/>
            <w:shd w:val="clear" w:color="auto" w:fill="FFFFFF"/>
          </w:tcPr>
          <w:p w:rsidR="00AB22F4" w:rsidRPr="00094312" w:rsidRDefault="00AB22F4" w:rsidP="00094312">
            <w:pPr>
              <w:tabs>
                <w:tab w:val="left" w:pos="1920"/>
              </w:tabs>
              <w:rPr>
                <w:sz w:val="19"/>
              </w:rPr>
            </w:pPr>
          </w:p>
        </w:tc>
        <w:tc>
          <w:tcPr>
            <w:tcW w:w="6404" w:type="dxa"/>
            <w:shd w:val="clear" w:color="auto" w:fill="FFFFFF"/>
          </w:tcPr>
          <w:p w:rsidR="00AB22F4" w:rsidRPr="00094312" w:rsidRDefault="00AB22F4" w:rsidP="00094312">
            <w:pPr>
              <w:tabs>
                <w:tab w:val="left" w:pos="1920"/>
              </w:tabs>
              <w:rPr>
                <w:sz w:val="19"/>
              </w:rPr>
            </w:pPr>
            <w:r w:rsidRPr="00094312">
              <w:rPr>
                <w:sz w:val="19"/>
              </w:rPr>
              <w:t>378 – ostatní krátkodobé závazky</w:t>
            </w:r>
          </w:p>
        </w:tc>
      </w:tr>
    </w:tbl>
    <w:p w:rsidR="00AB22F4" w:rsidRPr="00690F8F" w:rsidRDefault="00AB22F4" w:rsidP="00690F8F">
      <w:pPr>
        <w:rPr>
          <w:lang w:eastAsia="en-US"/>
        </w:rPr>
      </w:pPr>
    </w:p>
    <w:p w:rsidR="00AB22F4" w:rsidRPr="007A5908" w:rsidRDefault="00AB22F4" w:rsidP="007A5908">
      <w:pPr>
        <w:pStyle w:val="Heading2"/>
        <w:numPr>
          <w:ilvl w:val="0"/>
          <w:numId w:val="38"/>
        </w:numPr>
        <w:tabs>
          <w:tab w:val="clear" w:pos="1080"/>
        </w:tabs>
        <w:spacing w:before="0" w:after="0"/>
        <w:ind w:left="284" w:hanging="284"/>
        <w:jc w:val="both"/>
        <w:rPr>
          <w:rFonts w:ascii="Times New Roman" w:hAnsi="Times New Roman" w:cs="Times New Roman"/>
          <w:color w:val="auto"/>
          <w:lang w:val="cs-CZ"/>
        </w:rPr>
      </w:pPr>
      <w:r w:rsidRPr="007A5908">
        <w:rPr>
          <w:rFonts w:ascii="Times New Roman" w:hAnsi="Times New Roman" w:cs="Times New Roman"/>
          <w:color w:val="auto"/>
          <w:lang w:val="cs-CZ"/>
        </w:rPr>
        <w:t>Podíl zastaveného majetku na celkovém majetku územního celku</w:t>
      </w:r>
    </w:p>
    <w:p w:rsidR="00AB22F4" w:rsidRPr="00097704" w:rsidRDefault="00AB22F4" w:rsidP="007B7F19">
      <w:pPr>
        <w:tabs>
          <w:tab w:val="left" w:pos="6840"/>
        </w:tabs>
        <w:jc w:val="both"/>
        <w:rPr>
          <w:b/>
          <w:sz w:val="16"/>
          <w:szCs w:val="16"/>
        </w:rPr>
      </w:pPr>
    </w:p>
    <w:p w:rsidR="00AB22F4" w:rsidRPr="00431F56" w:rsidRDefault="00AB22F4" w:rsidP="00431F56">
      <w:pPr>
        <w:tabs>
          <w:tab w:val="left" w:pos="6840"/>
        </w:tabs>
        <w:jc w:val="center"/>
        <w:rPr>
          <w:b/>
          <w:u w:val="single"/>
        </w:rPr>
      </w:pPr>
      <w:r w:rsidRPr="00431F56">
        <w:rPr>
          <w:b/>
          <w:u w:val="single"/>
        </w:rPr>
        <w:t>D x 100%</w:t>
      </w:r>
    </w:p>
    <w:p w:rsidR="00AB22F4" w:rsidRDefault="00AB22F4" w:rsidP="00431F56">
      <w:pPr>
        <w:tabs>
          <w:tab w:val="left" w:pos="6840"/>
        </w:tabs>
        <w:jc w:val="center"/>
        <w:rPr>
          <w:b/>
        </w:rPr>
      </w:pPr>
      <w:r>
        <w:rPr>
          <w:b/>
        </w:rPr>
        <w:t>E</w:t>
      </w:r>
    </w:p>
    <w:p w:rsidR="00AB22F4" w:rsidRDefault="00AB22F4" w:rsidP="00C914DA">
      <w:pPr>
        <w:tabs>
          <w:tab w:val="left" w:pos="6840"/>
        </w:tabs>
        <w:jc w:val="both"/>
        <w:rPr>
          <w:b/>
        </w:rPr>
      </w:pPr>
    </w:p>
    <w:p w:rsidR="00AB22F4" w:rsidRDefault="00AB22F4" w:rsidP="00431F56">
      <w:pPr>
        <w:pStyle w:val="ListParagraph"/>
        <w:numPr>
          <w:ilvl w:val="0"/>
          <w:numId w:val="41"/>
        </w:numPr>
        <w:tabs>
          <w:tab w:val="left" w:pos="1920"/>
        </w:tabs>
        <w:ind w:left="426" w:hanging="426"/>
        <w:jc w:val="both"/>
        <w:rPr>
          <w:rFonts w:ascii="Times New Roman" w:hAnsi="Times New Roman"/>
          <w:b/>
          <w:sz w:val="24"/>
          <w:lang w:val="cs-CZ"/>
        </w:rPr>
      </w:pPr>
      <w:r w:rsidRPr="00431F56">
        <w:rPr>
          <w:rFonts w:ascii="Times New Roman" w:hAnsi="Times New Roman"/>
          <w:b/>
          <w:sz w:val="24"/>
          <w:lang w:val="cs-CZ"/>
        </w:rPr>
        <w:t xml:space="preserve">Vymezení zastaveného majetku </w:t>
      </w:r>
    </w:p>
    <w:p w:rsidR="00AB22F4" w:rsidRDefault="00AB22F4" w:rsidP="00431F56">
      <w:pPr>
        <w:tabs>
          <w:tab w:val="left" w:pos="1920"/>
        </w:tabs>
        <w:jc w:val="both"/>
        <w:rPr>
          <w:b/>
        </w:rPr>
      </w:pPr>
    </w:p>
    <w:p w:rsidR="00AB22F4" w:rsidRPr="00431F56" w:rsidRDefault="00AB22F4" w:rsidP="00431F56">
      <w:pPr>
        <w:tabs>
          <w:tab w:val="left" w:pos="1920"/>
        </w:tabs>
        <w:jc w:val="both"/>
      </w:pPr>
      <w:r w:rsidRPr="00431F56">
        <w:t>Zastavený movitý a nemovitý majetek dle inventurníc</w:t>
      </w:r>
      <w:r>
        <w:t xml:space="preserve">h soupisů a analytických účtů, </w:t>
      </w:r>
      <w:r w:rsidRPr="00431F56">
        <w:t>případně operativní evidence, doložený výpisem z LV a úvěrovými smlouvami</w:t>
      </w:r>
      <w:r>
        <w:t xml:space="preserve"> v hodnotě BRUTTO.</w:t>
      </w:r>
    </w:p>
    <w:p w:rsidR="00AB22F4" w:rsidRPr="00431F56" w:rsidRDefault="00AB22F4" w:rsidP="00431F56">
      <w:pPr>
        <w:tabs>
          <w:tab w:val="left" w:pos="1920"/>
        </w:tabs>
        <w:jc w:val="both"/>
      </w:pPr>
    </w:p>
    <w:p w:rsidR="00AB22F4" w:rsidRPr="00431F56" w:rsidRDefault="00AB22F4" w:rsidP="00431F56">
      <w:pPr>
        <w:pStyle w:val="ListParagraph"/>
        <w:numPr>
          <w:ilvl w:val="0"/>
          <w:numId w:val="41"/>
        </w:numPr>
        <w:tabs>
          <w:tab w:val="left" w:pos="1920"/>
        </w:tabs>
        <w:ind w:left="426" w:hanging="426"/>
        <w:jc w:val="both"/>
        <w:rPr>
          <w:rFonts w:ascii="Times New Roman" w:hAnsi="Times New Roman"/>
          <w:b/>
          <w:sz w:val="24"/>
          <w:lang w:val="cs-CZ"/>
        </w:rPr>
      </w:pPr>
      <w:r>
        <w:rPr>
          <w:rFonts w:ascii="Times New Roman" w:hAnsi="Times New Roman"/>
          <w:b/>
          <w:sz w:val="24"/>
          <w:lang w:val="cs-CZ"/>
        </w:rPr>
        <w:t>Vymezení majetku pro výpočet ukazatele</w:t>
      </w:r>
    </w:p>
    <w:p w:rsidR="00AB22F4" w:rsidRDefault="00AB22F4" w:rsidP="009548C7">
      <w:pPr>
        <w:tabs>
          <w:tab w:val="left" w:pos="6840"/>
        </w:tabs>
        <w:jc w:val="both"/>
      </w:pPr>
    </w:p>
    <w:p w:rsidR="00AB22F4" w:rsidRDefault="00AB22F4" w:rsidP="009548C7">
      <w:pPr>
        <w:tabs>
          <w:tab w:val="left" w:pos="6840"/>
        </w:tabs>
        <w:jc w:val="both"/>
      </w:pPr>
      <w:r>
        <w:t xml:space="preserve">Část A. - </w:t>
      </w:r>
      <w:r w:rsidRPr="00A72DBF">
        <w:t xml:space="preserve">Stálá aktiva </w:t>
      </w:r>
      <w:r>
        <w:t xml:space="preserve">v hodnotě </w:t>
      </w:r>
      <w:r w:rsidRPr="00A72DBF">
        <w:t>BRUTTO</w:t>
      </w:r>
      <w:r>
        <w:t xml:space="preserve"> (sloupec 1)</w:t>
      </w:r>
      <w:r w:rsidRPr="00A72DBF">
        <w:t>.</w:t>
      </w:r>
    </w:p>
    <w:p w:rsidR="00AB22F4" w:rsidRDefault="00AB22F4" w:rsidP="009548C7">
      <w:pPr>
        <w:tabs>
          <w:tab w:val="left" w:pos="6840"/>
        </w:tabs>
        <w:jc w:val="both"/>
      </w:pPr>
    </w:p>
    <w:p w:rsidR="00AB22F4" w:rsidRDefault="00AB22F4" w:rsidP="00AA4B2C">
      <w:pPr>
        <w:jc w:val="both"/>
        <w:rPr>
          <w:b/>
        </w:rPr>
      </w:pPr>
    </w:p>
    <w:p w:rsidR="00AB22F4" w:rsidRDefault="00AB22F4" w:rsidP="00AA4B2C">
      <w:pPr>
        <w:jc w:val="both"/>
        <w:rPr>
          <w:b/>
        </w:rPr>
      </w:pPr>
    </w:p>
    <w:p w:rsidR="00AB22F4" w:rsidRDefault="00AB22F4" w:rsidP="00AA4B2C">
      <w:pPr>
        <w:jc w:val="both"/>
        <w:rPr>
          <w:b/>
        </w:rPr>
      </w:pPr>
    </w:p>
    <w:p w:rsidR="00AB22F4" w:rsidRPr="00733A7E" w:rsidRDefault="00AB22F4" w:rsidP="00AA4B2C">
      <w:pPr>
        <w:jc w:val="both"/>
        <w:rPr>
          <w:b/>
        </w:rPr>
      </w:pPr>
      <w:r w:rsidRPr="00733A7E">
        <w:rPr>
          <w:b/>
        </w:rPr>
        <w:t>Martina Smetanová</w:t>
      </w:r>
    </w:p>
    <w:p w:rsidR="00AB22F4" w:rsidRDefault="00AB22F4" w:rsidP="00AA4B2C">
      <w:pPr>
        <w:jc w:val="both"/>
      </w:pPr>
      <w:r>
        <w:t>Členka Výboru pro veřejný sektor KA ČR</w:t>
      </w:r>
    </w:p>
    <w:p w:rsidR="00AB22F4" w:rsidRDefault="00AB22F4" w:rsidP="00AA4B2C">
      <w:pPr>
        <w:jc w:val="both"/>
      </w:pPr>
    </w:p>
    <w:p w:rsidR="00AB22F4" w:rsidRPr="00733A7E" w:rsidRDefault="00AB22F4" w:rsidP="00AA4B2C">
      <w:pPr>
        <w:jc w:val="both"/>
        <w:rPr>
          <w:b/>
        </w:rPr>
      </w:pPr>
      <w:r w:rsidRPr="00733A7E">
        <w:rPr>
          <w:b/>
        </w:rPr>
        <w:t>Vladimír Remeš</w:t>
      </w:r>
    </w:p>
    <w:p w:rsidR="00AB22F4" w:rsidRPr="00A72DBF" w:rsidRDefault="00AB22F4" w:rsidP="00422C6D">
      <w:pPr>
        <w:jc w:val="both"/>
      </w:pPr>
      <w:r>
        <w:t>Ministerstvo financí ČR</w:t>
      </w:r>
    </w:p>
    <w:sectPr w:rsidR="00AB22F4" w:rsidRPr="00A72DBF" w:rsidSect="00B12C89">
      <w:footerReference w:type="default" r:id="rId7"/>
      <w:pgSz w:w="11906" w:h="16838" w:code="9"/>
      <w:pgMar w:top="1418" w:right="1418" w:bottom="1418" w:left="1418" w:header="709" w:footer="709" w:gutter="0"/>
      <w:paperSrc w:first="15" w:other="15"/>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2F4" w:rsidRDefault="00AB22F4">
      <w:r>
        <w:separator/>
      </w:r>
    </w:p>
    <w:p w:rsidR="00AB22F4" w:rsidRDefault="00AB22F4"/>
  </w:endnote>
  <w:endnote w:type="continuationSeparator" w:id="0">
    <w:p w:rsidR="00AB22F4" w:rsidRDefault="00AB22F4">
      <w:r>
        <w:continuationSeparator/>
      </w:r>
    </w:p>
    <w:p w:rsidR="00AB22F4" w:rsidRDefault="00AB22F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CE">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F4" w:rsidRPr="003530AF" w:rsidRDefault="00AB22F4" w:rsidP="003530AF">
    <w:pPr>
      <w:pStyle w:val="Footer"/>
      <w:jc w:val="righ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2F4" w:rsidRDefault="00AB22F4">
      <w:r>
        <w:separator/>
      </w:r>
    </w:p>
    <w:p w:rsidR="00AB22F4" w:rsidRDefault="00AB22F4"/>
  </w:footnote>
  <w:footnote w:type="continuationSeparator" w:id="0">
    <w:p w:rsidR="00AB22F4" w:rsidRDefault="00AB22F4">
      <w:r>
        <w:continuationSeparator/>
      </w:r>
    </w:p>
    <w:p w:rsidR="00AB22F4" w:rsidRDefault="00AB22F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250BB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3B008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8A0AE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A385D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580D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5C52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DE9C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06CF1A"/>
    <w:lvl w:ilvl="0">
      <w:start w:val="1"/>
      <w:numFmt w:val="bullet"/>
      <w:lvlText w:val=""/>
      <w:lvlJc w:val="left"/>
      <w:pPr>
        <w:ind w:left="644" w:hanging="360"/>
      </w:pPr>
      <w:rPr>
        <w:rFonts w:ascii="Symbol" w:hAnsi="Symbol" w:hint="default"/>
        <w:b w:val="0"/>
        <w:i w:val="0"/>
        <w:sz w:val="19"/>
      </w:rPr>
    </w:lvl>
  </w:abstractNum>
  <w:abstractNum w:abstractNumId="8">
    <w:nsid w:val="FFFFFF88"/>
    <w:multiLevelType w:val="singleLevel"/>
    <w:tmpl w:val="1F8823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94E9FC"/>
    <w:lvl w:ilvl="0">
      <w:start w:val="1"/>
      <w:numFmt w:val="bullet"/>
      <w:lvlText w:val=""/>
      <w:lvlJc w:val="left"/>
      <w:pPr>
        <w:tabs>
          <w:tab w:val="num" w:pos="284"/>
        </w:tabs>
        <w:ind w:left="284" w:hanging="284"/>
      </w:pPr>
      <w:rPr>
        <w:rFonts w:ascii="Symbol" w:hAnsi="Symbol" w:hint="default"/>
      </w:rPr>
    </w:lvl>
  </w:abstractNum>
  <w:abstractNum w:abstractNumId="10">
    <w:nsid w:val="053F6CE7"/>
    <w:multiLevelType w:val="hybridMultilevel"/>
    <w:tmpl w:val="81866B1A"/>
    <w:lvl w:ilvl="0" w:tplc="04050015">
      <w:start w:val="1"/>
      <w:numFmt w:val="upp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08A4294D"/>
    <w:multiLevelType w:val="hybridMultilevel"/>
    <w:tmpl w:val="216C8CF6"/>
    <w:lvl w:ilvl="0" w:tplc="786AE48A">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0E087A05"/>
    <w:multiLevelType w:val="hybridMultilevel"/>
    <w:tmpl w:val="31E68B9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0831F9F"/>
    <w:multiLevelType w:val="multilevel"/>
    <w:tmpl w:val="765C436A"/>
    <w:lvl w:ilvl="0">
      <w:start w:val="1"/>
      <w:numFmt w:val="decimal"/>
      <w:lvlText w:val="%1"/>
      <w:lvlJc w:val="left"/>
      <w:pPr>
        <w:ind w:left="360" w:hanging="360"/>
      </w:pPr>
      <w:rPr>
        <w:rFonts w:ascii="Arial" w:hAnsi="Arial" w:cs="Times New Roman" w:hint="default"/>
        <w:b/>
        <w:i w:val="0"/>
        <w:sz w:val="19"/>
      </w:rPr>
    </w:lvl>
    <w:lvl w:ilvl="1">
      <w:start w:val="1"/>
      <w:numFmt w:val="decimal"/>
      <w:lvlText w:val="%2.%1"/>
      <w:lvlJc w:val="left"/>
      <w:pPr>
        <w:ind w:left="720" w:hanging="360"/>
      </w:pPr>
      <w:rPr>
        <w:rFonts w:ascii="Arial" w:hAnsi="Arial" w:cs="Times New Roman" w:hint="default"/>
        <w:b w:val="0"/>
        <w:i w:val="0"/>
        <w:sz w:val="19"/>
      </w:rPr>
    </w:lvl>
    <w:lvl w:ilvl="2">
      <w:start w:val="1"/>
      <w:numFmt w:val="decimal"/>
      <w:lvlText w:val="%3%2%1"/>
      <w:lvlJc w:val="left"/>
      <w:pPr>
        <w:ind w:left="1080" w:hanging="360"/>
      </w:pPr>
      <w:rPr>
        <w:rFonts w:ascii="Arial" w:hAnsi="Arial" w:cs="Times New Roman" w:hint="default"/>
        <w:b w:val="0"/>
        <w:i w:val="0"/>
        <w:sz w:val="19"/>
      </w:rPr>
    </w:lvl>
    <w:lvl w:ilvl="3">
      <w:start w:val="1"/>
      <w:numFmt w:val="decimal"/>
      <w:lvlText w:val="%4%1%2%3"/>
      <w:lvlJc w:val="left"/>
      <w:pPr>
        <w:ind w:left="1440" w:hanging="360"/>
      </w:pPr>
      <w:rPr>
        <w:rFonts w:ascii="Arial" w:hAnsi="Arial" w:cs="Times New Roman" w:hint="default"/>
        <w:b w:val="0"/>
        <w:i w:val="0"/>
        <w:sz w:val="19"/>
      </w:rPr>
    </w:lvl>
    <w:lvl w:ilvl="4">
      <w:start w:val="1"/>
      <w:numFmt w:val="decimal"/>
      <w:lvlText w:val="%5.%1.%2.%3.%4"/>
      <w:lvlJc w:val="left"/>
      <w:pPr>
        <w:ind w:left="1800" w:hanging="360"/>
      </w:pPr>
      <w:rPr>
        <w:rFonts w:ascii="Arial" w:hAnsi="Arial" w:cs="Times New Roman" w:hint="default"/>
        <w:b w:val="0"/>
        <w:i/>
        <w:sz w:val="19"/>
      </w:rPr>
    </w:lvl>
    <w:lvl w:ilvl="5">
      <w:start w:val="1"/>
      <w:numFmt w:val="decimal"/>
      <w:lvlText w:val="%6.%1.%2.%3.%4.%5"/>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10E6987"/>
    <w:multiLevelType w:val="hybridMultilevel"/>
    <w:tmpl w:val="A2E49D6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19FB574B"/>
    <w:multiLevelType w:val="hybridMultilevel"/>
    <w:tmpl w:val="5D002654"/>
    <w:lvl w:ilvl="0" w:tplc="E01C104A">
      <w:start w:val="1"/>
      <w:numFmt w:val="bullet"/>
      <w:lvlText w:val=""/>
      <w:lvlJc w:val="left"/>
      <w:pPr>
        <w:ind w:left="720" w:hanging="360"/>
      </w:pPr>
      <w:rPr>
        <w:rFonts w:ascii="Wingdings" w:hAnsi="Wingdings" w:hint="default"/>
        <w:color w:val="00008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A9E6572"/>
    <w:multiLevelType w:val="multilevel"/>
    <w:tmpl w:val="7B98DF9E"/>
    <w:lvl w:ilvl="0">
      <w:start w:val="1"/>
      <w:numFmt w:val="decimal"/>
      <w:lvlText w:val="%1"/>
      <w:lvlJc w:val="left"/>
      <w:pPr>
        <w:ind w:left="360" w:hanging="360"/>
      </w:pPr>
      <w:rPr>
        <w:rFonts w:ascii="Arial" w:hAnsi="Arial" w:cs="Times New Roman" w:hint="default"/>
        <w:b/>
        <w:i w:val="0"/>
        <w:sz w:val="19"/>
      </w:rPr>
    </w:lvl>
    <w:lvl w:ilvl="1">
      <w:start w:val="1"/>
      <w:numFmt w:val="decimal"/>
      <w:lvlText w:val="%1.%2"/>
      <w:lvlJc w:val="left"/>
      <w:pPr>
        <w:ind w:left="720" w:hanging="360"/>
      </w:pPr>
      <w:rPr>
        <w:rFonts w:ascii="Arial" w:hAnsi="Arial" w:cs="Times New Roman" w:hint="default"/>
        <w:b w:val="0"/>
        <w:i w:val="0"/>
        <w:sz w:val="19"/>
      </w:rPr>
    </w:lvl>
    <w:lvl w:ilvl="2">
      <w:start w:val="1"/>
      <w:numFmt w:val="decimal"/>
      <w:lvlText w:val="%2.%1.%3"/>
      <w:lvlJc w:val="left"/>
      <w:pPr>
        <w:ind w:left="1080" w:hanging="360"/>
      </w:pPr>
      <w:rPr>
        <w:rFonts w:ascii="Arial" w:hAnsi="Arial" w:cs="Times New Roman" w:hint="default"/>
        <w:b w:val="0"/>
        <w:i w:val="0"/>
        <w:sz w:val="19"/>
      </w:rPr>
    </w:lvl>
    <w:lvl w:ilvl="3">
      <w:start w:val="1"/>
      <w:numFmt w:val="decimal"/>
      <w:lvlText w:val="%2.%1.%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20423EF"/>
    <w:multiLevelType w:val="multilevel"/>
    <w:tmpl w:val="4DD672E4"/>
    <w:lvl w:ilvl="0">
      <w:start w:val="1"/>
      <w:numFmt w:val="decimal"/>
      <w:lvlText w:val="%1"/>
      <w:lvlJc w:val="left"/>
      <w:pPr>
        <w:ind w:left="360" w:hanging="360"/>
      </w:pPr>
      <w:rPr>
        <w:rFonts w:ascii="Arial" w:hAnsi="Arial" w:cs="Times New Roman" w:hint="default"/>
        <w:b/>
        <w:i w:val="0"/>
        <w:sz w:val="19"/>
      </w:rPr>
    </w:lvl>
    <w:lvl w:ilvl="1">
      <w:start w:val="1"/>
      <w:numFmt w:val="decimal"/>
      <w:lvlText w:val="%2.%1"/>
      <w:lvlJc w:val="left"/>
      <w:pPr>
        <w:ind w:left="720" w:hanging="360"/>
      </w:pPr>
      <w:rPr>
        <w:rFonts w:ascii="Arial" w:hAnsi="Arial" w:cs="Times New Roman" w:hint="default"/>
        <w:b w:val="0"/>
        <w:i w:val="0"/>
        <w:sz w:val="19"/>
      </w:rPr>
    </w:lvl>
    <w:lvl w:ilvl="2">
      <w:start w:val="1"/>
      <w:numFmt w:val="decimal"/>
      <w:lvlText w:val="%2.%1.%3"/>
      <w:lvlJc w:val="left"/>
      <w:pPr>
        <w:ind w:left="1080" w:hanging="360"/>
      </w:pPr>
      <w:rPr>
        <w:rFonts w:ascii="Arial" w:hAnsi="Arial" w:cs="Times New Roman" w:hint="default"/>
        <w:b w:val="0"/>
        <w:i w:val="0"/>
        <w:sz w:val="19"/>
      </w:rPr>
    </w:lvl>
    <w:lvl w:ilvl="3">
      <w:start w:val="1"/>
      <w:numFmt w:val="decimal"/>
      <w:lvlText w:val="%4.%1.%2.%3"/>
      <w:lvlJc w:val="left"/>
      <w:pPr>
        <w:ind w:left="1440" w:hanging="360"/>
      </w:pPr>
      <w:rPr>
        <w:rFonts w:ascii="Arial" w:hAnsi="Arial" w:cs="Times New Roman" w:hint="default"/>
        <w:b w:val="0"/>
        <w:i w:val="0"/>
        <w:sz w:val="19"/>
      </w:rPr>
    </w:lvl>
    <w:lvl w:ilvl="4">
      <w:start w:val="1"/>
      <w:numFmt w:val="decimal"/>
      <w:lvlText w:val="%5.%1.%2.%3.%4"/>
      <w:lvlJc w:val="left"/>
      <w:pPr>
        <w:ind w:left="1800" w:hanging="360"/>
      </w:pPr>
      <w:rPr>
        <w:rFonts w:ascii="Arial" w:hAnsi="Arial" w:cs="Times New Roman" w:hint="default"/>
        <w:b w:val="0"/>
        <w:i/>
        <w:sz w:val="19"/>
      </w:rPr>
    </w:lvl>
    <w:lvl w:ilvl="5">
      <w:start w:val="1"/>
      <w:numFmt w:val="decimal"/>
      <w:lvlText w:val="%6.%1.%2.%3.%4.%5"/>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5EE5F44"/>
    <w:multiLevelType w:val="hybridMultilevel"/>
    <w:tmpl w:val="9982BE0C"/>
    <w:lvl w:ilvl="0" w:tplc="0D34D2B8">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C3D4CA6"/>
    <w:multiLevelType w:val="hybridMultilevel"/>
    <w:tmpl w:val="18747E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B8D40AF"/>
    <w:multiLevelType w:val="hybridMultilevel"/>
    <w:tmpl w:val="03D085B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DDA2028"/>
    <w:multiLevelType w:val="hybridMultilevel"/>
    <w:tmpl w:val="5616F17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7B055B"/>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nsid w:val="40194BA2"/>
    <w:multiLevelType w:val="multilevel"/>
    <w:tmpl w:val="25C8C4E0"/>
    <w:lvl w:ilvl="0">
      <w:start w:val="1"/>
      <w:numFmt w:val="decimal"/>
      <w:lvlText w:val="%1"/>
      <w:lvlJc w:val="left"/>
      <w:pPr>
        <w:ind w:left="360" w:hanging="360"/>
      </w:pPr>
      <w:rPr>
        <w:rFonts w:ascii="Arial" w:hAnsi="Arial" w:cs="Times New Roman" w:hint="default"/>
        <w:b/>
        <w:i w:val="0"/>
        <w:sz w:val="19"/>
      </w:rPr>
    </w:lvl>
    <w:lvl w:ilvl="1">
      <w:start w:val="1"/>
      <w:numFmt w:val="decimal"/>
      <w:lvlText w:val="%2.%1"/>
      <w:lvlJc w:val="left"/>
      <w:pPr>
        <w:ind w:left="720" w:hanging="360"/>
      </w:pPr>
      <w:rPr>
        <w:rFonts w:ascii="Arial" w:hAnsi="Arial" w:cs="Times New Roman" w:hint="default"/>
        <w:b w:val="0"/>
        <w:i w:val="0"/>
        <w:sz w:val="19"/>
      </w:rPr>
    </w:lvl>
    <w:lvl w:ilvl="2">
      <w:start w:val="1"/>
      <w:numFmt w:val="decimal"/>
      <w:lvlText w:val="%2.%1.%3"/>
      <w:lvlJc w:val="left"/>
      <w:pPr>
        <w:ind w:left="1080" w:hanging="360"/>
      </w:pPr>
      <w:rPr>
        <w:rFonts w:ascii="Arial" w:hAnsi="Arial" w:cs="Times New Roman" w:hint="default"/>
        <w:b w:val="0"/>
        <w:i w:val="0"/>
        <w:sz w:val="19"/>
      </w:rPr>
    </w:lvl>
    <w:lvl w:ilvl="3">
      <w:start w:val="1"/>
      <w:numFmt w:val="decimal"/>
      <w:lvlText w:val="%2.%1.%3.%4"/>
      <w:lvlJc w:val="left"/>
      <w:pPr>
        <w:ind w:left="1440" w:hanging="360"/>
      </w:pPr>
      <w:rPr>
        <w:rFonts w:ascii="Arial" w:hAnsi="Arial" w:cs="Times New Roman" w:hint="default"/>
        <w:b w:val="0"/>
        <w:i w:val="0"/>
        <w:sz w:val="19"/>
      </w:rPr>
    </w:lvl>
    <w:lvl w:ilvl="4">
      <w:start w:val="1"/>
      <w:numFmt w:val="decimal"/>
      <w:lvlText w:val="%2.%4.%3.%5.%1"/>
      <w:lvlJc w:val="left"/>
      <w:pPr>
        <w:ind w:left="1800" w:hanging="360"/>
      </w:pPr>
      <w:rPr>
        <w:rFonts w:ascii="Arial" w:hAnsi="Arial" w:cs="Times New Roman" w:hint="default"/>
        <w:b w:val="0"/>
        <w:i/>
        <w:sz w:val="19"/>
      </w:rPr>
    </w:lvl>
    <w:lvl w:ilvl="5">
      <w:start w:val="1"/>
      <w:numFmt w:val="decimal"/>
      <w:lvlText w:val="%2.%1.%3.%4.%5.%6"/>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406C22A0"/>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nsid w:val="45B572D9"/>
    <w:multiLevelType w:val="multilevel"/>
    <w:tmpl w:val="B2E69ACE"/>
    <w:lvl w:ilvl="0">
      <w:start w:val="1"/>
      <w:numFmt w:val="decimal"/>
      <w:lvlText w:val="%1"/>
      <w:lvlJc w:val="left"/>
      <w:pPr>
        <w:ind w:left="360" w:hanging="360"/>
      </w:pPr>
      <w:rPr>
        <w:rFonts w:ascii="Arial" w:hAnsi="Arial" w:cs="Times New Roman" w:hint="default"/>
        <w:b/>
        <w:i w:val="0"/>
        <w:sz w:val="19"/>
      </w:rPr>
    </w:lvl>
    <w:lvl w:ilvl="1">
      <w:start w:val="1"/>
      <w:numFmt w:val="decimal"/>
      <w:lvlText w:val="%2.%1"/>
      <w:lvlJc w:val="left"/>
      <w:pPr>
        <w:ind w:left="720" w:hanging="360"/>
      </w:pPr>
      <w:rPr>
        <w:rFonts w:ascii="Arial" w:hAnsi="Arial" w:cs="Times New Roman" w:hint="default"/>
        <w:b w:val="0"/>
        <w:i w:val="0"/>
        <w:sz w:val="19"/>
      </w:rPr>
    </w:lvl>
    <w:lvl w:ilvl="2">
      <w:start w:val="1"/>
      <w:numFmt w:val="decimal"/>
      <w:lvlText w:val="%2.%1.%3"/>
      <w:lvlJc w:val="left"/>
      <w:pPr>
        <w:ind w:left="1080" w:hanging="360"/>
      </w:pPr>
      <w:rPr>
        <w:rFonts w:ascii="Arial" w:hAnsi="Arial" w:cs="Times New Roman" w:hint="default"/>
        <w:b w:val="0"/>
        <w:i w:val="0"/>
        <w:sz w:val="19"/>
      </w:rPr>
    </w:lvl>
    <w:lvl w:ilvl="3">
      <w:start w:val="1"/>
      <w:numFmt w:val="decimal"/>
      <w:lvlText w:val="%4.%3.%2.%1"/>
      <w:lvlJc w:val="left"/>
      <w:pPr>
        <w:ind w:left="1440" w:hanging="360"/>
      </w:pPr>
      <w:rPr>
        <w:rFonts w:ascii="Arial" w:hAnsi="Arial" w:cs="Times New Roman" w:hint="default"/>
        <w:b w:val="0"/>
        <w:i w:val="0"/>
        <w:sz w:val="19"/>
      </w:rPr>
    </w:lvl>
    <w:lvl w:ilvl="4">
      <w:start w:val="1"/>
      <w:numFmt w:val="decimal"/>
      <w:lvlText w:val="%4.%3.%2.%1.%5"/>
      <w:lvlJc w:val="left"/>
      <w:pPr>
        <w:ind w:left="1800" w:hanging="360"/>
      </w:pPr>
      <w:rPr>
        <w:rFonts w:ascii="Arial" w:hAnsi="Arial" w:cs="Times New Roman" w:hint="default"/>
        <w:b w:val="0"/>
        <w:i/>
        <w:sz w:val="19"/>
      </w:rPr>
    </w:lvl>
    <w:lvl w:ilvl="5">
      <w:start w:val="1"/>
      <w:numFmt w:val="decimal"/>
      <w:lvlText w:val="%5.%4.%3.%2.%1.%6"/>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46904732"/>
    <w:multiLevelType w:val="multilevel"/>
    <w:tmpl w:val="B9268802"/>
    <w:lvl w:ilvl="0">
      <w:start w:val="1"/>
      <w:numFmt w:val="decimal"/>
      <w:lvlText w:val="%1."/>
      <w:lvlJc w:val="left"/>
      <w:pPr>
        <w:ind w:left="360" w:hanging="360"/>
      </w:pPr>
      <w:rPr>
        <w:rFonts w:ascii="Times New Roman" w:hAnsi="Times New Roman" w:cs="Times New Roman" w:hint="default"/>
        <w:b w:val="0"/>
        <w:i w:val="0"/>
        <w:color w:val="002776"/>
        <w:sz w:val="32"/>
        <w:szCs w:val="32"/>
      </w:rPr>
    </w:lvl>
    <w:lvl w:ilvl="1">
      <w:start w:val="1"/>
      <w:numFmt w:val="decimal"/>
      <w:lvlText w:val="%1.%2"/>
      <w:lvlJc w:val="left"/>
      <w:pPr>
        <w:tabs>
          <w:tab w:val="num" w:pos="3261"/>
        </w:tabs>
        <w:ind w:left="3148" w:hanging="454"/>
      </w:pPr>
      <w:rPr>
        <w:rFonts w:ascii="Times New Roman Bold" w:hAnsi="Times New Roman Bold" w:cs="Times New Roman" w:hint="default"/>
        <w:b/>
        <w:i w:val="0"/>
        <w:color w:val="000066"/>
        <w:sz w:val="24"/>
        <w:szCs w:val="24"/>
      </w:rPr>
    </w:lvl>
    <w:lvl w:ilvl="2">
      <w:start w:val="1"/>
      <w:numFmt w:val="decimal"/>
      <w:lvlText w:val="%1.%2.%3"/>
      <w:lvlJc w:val="left"/>
      <w:pPr>
        <w:tabs>
          <w:tab w:val="num" w:pos="560"/>
        </w:tabs>
        <w:ind w:left="737" w:hanging="737"/>
      </w:pPr>
      <w:rPr>
        <w:rFonts w:ascii="Times New Roman Bold" w:hAnsi="Times New Roman Bold" w:cs="Times New Roman" w:hint="default"/>
        <w:b/>
        <w:i w:val="0"/>
        <w:color w:val="000066"/>
        <w:sz w:val="24"/>
        <w:szCs w:val="24"/>
      </w:rPr>
    </w:lvl>
    <w:lvl w:ilvl="3">
      <w:start w:val="1"/>
      <w:numFmt w:val="decimal"/>
      <w:lvlText w:val="%1.%2.%3.%4"/>
      <w:lvlJc w:val="left"/>
      <w:pPr>
        <w:tabs>
          <w:tab w:val="num" w:pos="744"/>
        </w:tabs>
        <w:ind w:left="744" w:hanging="864"/>
      </w:pPr>
      <w:rPr>
        <w:rFonts w:cs="Times New Roman" w:hint="default"/>
      </w:rPr>
    </w:lvl>
    <w:lvl w:ilvl="4">
      <w:start w:val="1"/>
      <w:numFmt w:val="decimal"/>
      <w:lvlText w:val="%1.%2.%3.%4.%5"/>
      <w:lvlJc w:val="left"/>
      <w:pPr>
        <w:tabs>
          <w:tab w:val="num" w:pos="888"/>
        </w:tabs>
        <w:ind w:left="888" w:hanging="1008"/>
      </w:pPr>
      <w:rPr>
        <w:rFonts w:cs="Times New Roman" w:hint="default"/>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28">
    <w:nsid w:val="46AF79E7"/>
    <w:multiLevelType w:val="multilevel"/>
    <w:tmpl w:val="6B34493C"/>
    <w:lvl w:ilvl="0">
      <w:start w:val="1"/>
      <w:numFmt w:val="decimal"/>
      <w:lvlText w:val="%1"/>
      <w:lvlJc w:val="left"/>
      <w:pPr>
        <w:ind w:left="360" w:hanging="360"/>
      </w:pPr>
      <w:rPr>
        <w:rFonts w:ascii="Arial" w:hAnsi="Arial" w:cs="Times New Roman" w:hint="default"/>
        <w:b/>
        <w:i w:val="0"/>
        <w:sz w:val="19"/>
      </w:rPr>
    </w:lvl>
    <w:lvl w:ilvl="1">
      <w:start w:val="1"/>
      <w:numFmt w:val="decimal"/>
      <w:lvlText w:val="%2.%1"/>
      <w:lvlJc w:val="left"/>
      <w:pPr>
        <w:ind w:left="720" w:hanging="360"/>
      </w:pPr>
      <w:rPr>
        <w:rFonts w:ascii="Arial" w:hAnsi="Arial" w:cs="Times New Roman" w:hint="default"/>
        <w:b w:val="0"/>
        <w:i w:val="0"/>
        <w:sz w:val="19"/>
      </w:rPr>
    </w:lvl>
    <w:lvl w:ilvl="2">
      <w:start w:val="1"/>
      <w:numFmt w:val="decimal"/>
      <w:lvlText w:val="%2%1%3"/>
      <w:lvlJc w:val="left"/>
      <w:pPr>
        <w:ind w:left="1080" w:hanging="360"/>
      </w:pPr>
      <w:rPr>
        <w:rFonts w:ascii="Arial" w:hAnsi="Arial" w:cs="Times New Roman" w:hint="default"/>
        <w:b w:val="0"/>
        <w:i w:val="0"/>
        <w:sz w:val="19"/>
      </w:rPr>
    </w:lvl>
    <w:lvl w:ilvl="3">
      <w:start w:val="1"/>
      <w:numFmt w:val="decimal"/>
      <w:lvlText w:val="%3%2%1%4"/>
      <w:lvlJc w:val="left"/>
      <w:pPr>
        <w:ind w:left="1440" w:hanging="360"/>
      </w:pPr>
      <w:rPr>
        <w:rFonts w:ascii="Arial" w:hAnsi="Arial" w:cs="Times New Roman" w:hint="default"/>
        <w:b w:val="0"/>
        <w:i w:val="0"/>
        <w:sz w:val="19"/>
      </w:rPr>
    </w:lvl>
    <w:lvl w:ilvl="4">
      <w:start w:val="1"/>
      <w:numFmt w:val="decimal"/>
      <w:lvlText w:val="%5.%1.%2.%3.%4"/>
      <w:lvlJc w:val="left"/>
      <w:pPr>
        <w:ind w:left="1800" w:hanging="360"/>
      </w:pPr>
      <w:rPr>
        <w:rFonts w:ascii="Arial" w:hAnsi="Arial" w:cs="Times New Roman" w:hint="default"/>
        <w:b w:val="0"/>
        <w:i/>
        <w:sz w:val="19"/>
      </w:rPr>
    </w:lvl>
    <w:lvl w:ilvl="5">
      <w:start w:val="1"/>
      <w:numFmt w:val="decimal"/>
      <w:lvlText w:val="%6.%1.%2.%3.%4.%5"/>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4DBE2AE2"/>
    <w:multiLevelType w:val="multilevel"/>
    <w:tmpl w:val="21F2C6F6"/>
    <w:lvl w:ilvl="0">
      <w:start w:val="1"/>
      <w:numFmt w:val="decimal"/>
      <w:lvlText w:val="%1"/>
      <w:lvlJc w:val="left"/>
      <w:pPr>
        <w:ind w:left="360" w:hanging="360"/>
      </w:pPr>
      <w:rPr>
        <w:rFonts w:ascii="Arial" w:hAnsi="Arial" w:cs="Times New Roman" w:hint="default"/>
        <w:b/>
        <w:i w:val="0"/>
        <w:sz w:val="19"/>
      </w:rPr>
    </w:lvl>
    <w:lvl w:ilvl="1">
      <w:start w:val="1"/>
      <w:numFmt w:val="decimal"/>
      <w:lvlText w:val="%1.%2"/>
      <w:lvlJc w:val="left"/>
      <w:pPr>
        <w:ind w:left="720" w:hanging="360"/>
      </w:pPr>
      <w:rPr>
        <w:rFonts w:ascii="Arial" w:hAnsi="Arial" w:cs="Times New Roman" w:hint="default"/>
        <w:b w:val="0"/>
        <w:i w:val="0"/>
        <w:sz w:val="19"/>
      </w:rPr>
    </w:lvl>
    <w:lvl w:ilvl="2">
      <w:start w:val="1"/>
      <w:numFmt w:val="decimal"/>
      <w:lvlText w:val="%1.%2.%3"/>
      <w:lvlJc w:val="left"/>
      <w:pPr>
        <w:ind w:left="1080" w:hanging="360"/>
      </w:pPr>
      <w:rPr>
        <w:rFonts w:ascii="Arial" w:hAnsi="Arial" w:cs="Times New Roman" w:hint="default"/>
        <w:b w:val="0"/>
        <w:i w:val="0"/>
        <w:sz w:val="19"/>
      </w:rPr>
    </w:lvl>
    <w:lvl w:ilvl="3">
      <w:start w:val="1"/>
      <w:numFmt w:val="decimal"/>
      <w:lvlText w:val="%2.%1.%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0AC23BE"/>
    <w:multiLevelType w:val="multilevel"/>
    <w:tmpl w:val="F1B8D81C"/>
    <w:lvl w:ilvl="0">
      <w:start w:val="1"/>
      <w:numFmt w:val="decimal"/>
      <w:lvlText w:val="%1"/>
      <w:lvlJc w:val="left"/>
      <w:pPr>
        <w:ind w:left="360" w:hanging="360"/>
      </w:pPr>
      <w:rPr>
        <w:rFonts w:ascii="Arial" w:hAnsi="Arial" w:cs="Times New Roman" w:hint="default"/>
        <w:b/>
        <w:i w:val="0"/>
        <w:sz w:val="19"/>
      </w:rPr>
    </w:lvl>
    <w:lvl w:ilvl="1">
      <w:start w:val="1"/>
      <w:numFmt w:val="decimal"/>
      <w:lvlText w:val="%2.%1"/>
      <w:lvlJc w:val="left"/>
      <w:pPr>
        <w:ind w:left="720" w:hanging="360"/>
      </w:pPr>
      <w:rPr>
        <w:rFonts w:ascii="Arial" w:hAnsi="Arial" w:cs="Times New Roman" w:hint="default"/>
        <w:b w:val="0"/>
        <w:i w:val="0"/>
        <w:sz w:val="19"/>
      </w:rPr>
    </w:lvl>
    <w:lvl w:ilvl="2">
      <w:start w:val="1"/>
      <w:numFmt w:val="decimal"/>
      <w:lvlText w:val="%2.%1.%3"/>
      <w:lvlJc w:val="left"/>
      <w:pPr>
        <w:ind w:left="1080" w:hanging="360"/>
      </w:pPr>
      <w:rPr>
        <w:rFonts w:ascii="Arial" w:hAnsi="Arial" w:cs="Times New Roman" w:hint="default"/>
        <w:b w:val="0"/>
        <w:i w:val="0"/>
        <w:sz w:val="19"/>
      </w:rPr>
    </w:lvl>
    <w:lvl w:ilvl="3">
      <w:start w:val="1"/>
      <w:numFmt w:val="decimal"/>
      <w:lvlText w:val="%2.%1.%3.%4"/>
      <w:lvlJc w:val="left"/>
      <w:pPr>
        <w:ind w:left="1440" w:hanging="360"/>
      </w:pPr>
      <w:rPr>
        <w:rFonts w:ascii="Arial" w:hAnsi="Arial" w:cs="Times New Roman" w:hint="default"/>
        <w:b w:val="0"/>
        <w:i w:val="0"/>
        <w:sz w:val="19"/>
      </w:rPr>
    </w:lvl>
    <w:lvl w:ilvl="4">
      <w:start w:val="1"/>
      <w:numFmt w:val="decimal"/>
      <w:lvlText w:val="%5.%1.%2.%3.%4"/>
      <w:lvlJc w:val="left"/>
      <w:pPr>
        <w:ind w:left="1800" w:hanging="360"/>
      </w:pPr>
      <w:rPr>
        <w:rFonts w:ascii="Arial" w:hAnsi="Arial" w:cs="Times New Roman" w:hint="default"/>
        <w:b w:val="0"/>
        <w:i/>
        <w:sz w:val="19"/>
      </w:rPr>
    </w:lvl>
    <w:lvl w:ilvl="5">
      <w:start w:val="1"/>
      <w:numFmt w:val="decimal"/>
      <w:lvlText w:val="%6.%1.%2.%3.%4.%5"/>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516E2CB7"/>
    <w:multiLevelType w:val="multilevel"/>
    <w:tmpl w:val="DAFEFA5A"/>
    <w:lvl w:ilvl="0">
      <w:start w:val="1"/>
      <w:numFmt w:val="decimal"/>
      <w:lvlText w:val="%1"/>
      <w:lvlJc w:val="left"/>
      <w:pPr>
        <w:ind w:left="432" w:hanging="432"/>
      </w:pPr>
      <w:rPr>
        <w:rFonts w:ascii="Times New Roman" w:hAnsi="Times New Roman" w:cs="Times New Roman" w:hint="default"/>
        <w:b w:val="0"/>
        <w:i w:val="0"/>
        <w:color w:val="002776"/>
        <w:sz w:val="60"/>
      </w:rPr>
    </w:lvl>
    <w:lvl w:ilvl="1">
      <w:start w:val="1"/>
      <w:numFmt w:val="decimal"/>
      <w:lvlText w:val="%1.%2"/>
      <w:lvlJc w:val="left"/>
      <w:pPr>
        <w:ind w:left="576" w:hanging="576"/>
      </w:pPr>
      <w:rPr>
        <w:rFonts w:ascii="Arial" w:hAnsi="Arial" w:cs="Times New Roman" w:hint="default"/>
        <w:b/>
        <w:i w:val="0"/>
        <w:color w:val="92D400"/>
        <w:sz w:val="24"/>
      </w:rPr>
    </w:lvl>
    <w:lvl w:ilvl="2">
      <w:start w:val="1"/>
      <w:numFmt w:val="decimal"/>
      <w:lvlText w:val="%1.%2.%3"/>
      <w:lvlJc w:val="left"/>
      <w:pPr>
        <w:ind w:left="720" w:hanging="720"/>
      </w:pPr>
      <w:rPr>
        <w:rFonts w:ascii="Arial" w:hAnsi="Arial" w:cs="Times New Roman" w:hint="default"/>
        <w:b/>
        <w:i w:val="0"/>
        <w:color w:val="3C8A2E"/>
        <w:sz w:val="24"/>
      </w:rPr>
    </w:lvl>
    <w:lvl w:ilvl="3">
      <w:start w:val="1"/>
      <w:numFmt w:val="decimal"/>
      <w:lvlText w:val="%1.%2.%3.%4"/>
      <w:lvlJc w:val="left"/>
      <w:pPr>
        <w:ind w:left="864" w:hanging="864"/>
      </w:pPr>
      <w:rPr>
        <w:rFonts w:ascii="Arial" w:hAnsi="Arial" w:cs="Times New Roman" w:hint="default"/>
        <w:b/>
        <w:i w:val="0"/>
        <w:color w:val="auto"/>
        <w:sz w:val="24"/>
      </w:rPr>
    </w:lvl>
    <w:lvl w:ilvl="4">
      <w:start w:val="1"/>
      <w:numFmt w:val="decimal"/>
      <w:lvlText w:val="%1.%2.%3.%4.%5"/>
      <w:lvlJc w:val="left"/>
      <w:pPr>
        <w:ind w:left="1008" w:hanging="1008"/>
      </w:pPr>
      <w:rPr>
        <w:rFonts w:ascii="Arial" w:hAnsi="Arial" w:cs="Times New Roman" w:hint="default"/>
        <w:b/>
        <w:i/>
        <w:color w:val="000000"/>
        <w:sz w:val="24"/>
      </w:rPr>
    </w:lvl>
    <w:lvl w:ilvl="5">
      <w:start w:val="1"/>
      <w:numFmt w:val="decimal"/>
      <w:lvlText w:val="%1.%2.%3.%4.%5.%6"/>
      <w:lvlJc w:val="left"/>
      <w:pPr>
        <w:ind w:left="1152" w:hanging="1152"/>
      </w:pPr>
      <w:rPr>
        <w:rFonts w:ascii="Arial" w:hAnsi="Arial" w:cs="Times New Roman" w:hint="default"/>
        <w:b w:val="0"/>
        <w:i/>
        <w:color w:val="auto"/>
        <w:sz w:val="24"/>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nsid w:val="562F0ADF"/>
    <w:multiLevelType w:val="multilevel"/>
    <w:tmpl w:val="7EECC8EA"/>
    <w:lvl w:ilvl="0">
      <w:start w:val="1"/>
      <w:numFmt w:val="decimal"/>
      <w:lvlText w:val="%1"/>
      <w:lvlJc w:val="left"/>
      <w:pPr>
        <w:ind w:left="360" w:hanging="360"/>
      </w:pPr>
      <w:rPr>
        <w:rFonts w:ascii="Arial" w:hAnsi="Arial" w:cs="Times New Roman" w:hint="default"/>
        <w:b/>
        <w:i w:val="0"/>
        <w:sz w:val="19"/>
      </w:rPr>
    </w:lvl>
    <w:lvl w:ilvl="1">
      <w:start w:val="1"/>
      <w:numFmt w:val="decimal"/>
      <w:lvlText w:val="%2.%1"/>
      <w:lvlJc w:val="left"/>
      <w:pPr>
        <w:ind w:left="720" w:hanging="360"/>
      </w:pPr>
      <w:rPr>
        <w:rFonts w:ascii="Arial" w:hAnsi="Arial" w:cs="Times New Roman" w:hint="default"/>
        <w:b w:val="0"/>
        <w:i w:val="0"/>
        <w:sz w:val="19"/>
      </w:rPr>
    </w:lvl>
    <w:lvl w:ilvl="2">
      <w:start w:val="1"/>
      <w:numFmt w:val="decimal"/>
      <w:lvlText w:val="%2.%1.%3"/>
      <w:lvlJc w:val="left"/>
      <w:pPr>
        <w:ind w:left="1080" w:hanging="360"/>
      </w:pPr>
      <w:rPr>
        <w:rFonts w:ascii="Arial" w:hAnsi="Arial" w:cs="Times New Roman" w:hint="default"/>
        <w:b w:val="0"/>
        <w:i w:val="0"/>
        <w:sz w:val="19"/>
      </w:rPr>
    </w:lvl>
    <w:lvl w:ilvl="3">
      <w:start w:val="1"/>
      <w:numFmt w:val="decimal"/>
      <w:lvlText w:val="%2.%1.%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59931C44"/>
    <w:multiLevelType w:val="multilevel"/>
    <w:tmpl w:val="DB54DB1C"/>
    <w:lvl w:ilvl="0">
      <w:start w:val="1"/>
      <w:numFmt w:val="decimal"/>
      <w:lvlText w:val="%1"/>
      <w:lvlJc w:val="left"/>
      <w:pPr>
        <w:ind w:left="360" w:hanging="360"/>
      </w:pPr>
      <w:rPr>
        <w:rFonts w:ascii="Arial" w:hAnsi="Arial" w:cs="Times New Roman" w:hint="default"/>
        <w:b/>
        <w:i w:val="0"/>
        <w:sz w:val="19"/>
      </w:rPr>
    </w:lvl>
    <w:lvl w:ilvl="1">
      <w:start w:val="1"/>
      <w:numFmt w:val="decimal"/>
      <w:lvlText w:val="%2.%1"/>
      <w:lvlJc w:val="left"/>
      <w:pPr>
        <w:ind w:left="720" w:hanging="360"/>
      </w:pPr>
      <w:rPr>
        <w:rFonts w:ascii="Arial" w:hAnsi="Arial" w:cs="Times New Roman" w:hint="default"/>
        <w:b w:val="0"/>
        <w:i w:val="0"/>
        <w:sz w:val="19"/>
      </w:rPr>
    </w:lvl>
    <w:lvl w:ilvl="2">
      <w:start w:val="1"/>
      <w:numFmt w:val="decimal"/>
      <w:lvlText w:val="%2%1%3"/>
      <w:lvlJc w:val="left"/>
      <w:pPr>
        <w:ind w:left="1080" w:hanging="360"/>
      </w:pPr>
      <w:rPr>
        <w:rFonts w:ascii="Arial" w:hAnsi="Arial" w:cs="Times New Roman" w:hint="default"/>
        <w:b w:val="0"/>
        <w:i w:val="0"/>
        <w:sz w:val="19"/>
      </w:rPr>
    </w:lvl>
    <w:lvl w:ilvl="3">
      <w:start w:val="1"/>
      <w:numFmt w:val="decimal"/>
      <w:lvlText w:val="%2.%1.%3.%4"/>
      <w:lvlJc w:val="left"/>
      <w:pPr>
        <w:ind w:left="1440" w:hanging="360"/>
      </w:pPr>
      <w:rPr>
        <w:rFonts w:ascii="Arial" w:hAnsi="Arial" w:cs="Times New Roman" w:hint="default"/>
        <w:b w:val="0"/>
        <w:i w:val="0"/>
        <w:sz w:val="19"/>
      </w:rPr>
    </w:lvl>
    <w:lvl w:ilvl="4">
      <w:start w:val="1"/>
      <w:numFmt w:val="decimal"/>
      <w:lvlText w:val="%5.%1.%2.%3.%4"/>
      <w:lvlJc w:val="left"/>
      <w:pPr>
        <w:ind w:left="1800" w:hanging="360"/>
      </w:pPr>
      <w:rPr>
        <w:rFonts w:ascii="Arial" w:hAnsi="Arial" w:cs="Times New Roman" w:hint="default"/>
        <w:b w:val="0"/>
        <w:i/>
        <w:sz w:val="19"/>
      </w:rPr>
    </w:lvl>
    <w:lvl w:ilvl="5">
      <w:start w:val="1"/>
      <w:numFmt w:val="decimal"/>
      <w:lvlText w:val="%6.%1.%2.%3.%4.%5"/>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5F9B1B44"/>
    <w:multiLevelType w:val="multilevel"/>
    <w:tmpl w:val="C5106E7A"/>
    <w:lvl w:ilvl="0">
      <w:start w:val="1"/>
      <w:numFmt w:val="decimal"/>
      <w:lvlText w:val="%1"/>
      <w:lvlJc w:val="left"/>
      <w:pPr>
        <w:ind w:left="360" w:hanging="360"/>
      </w:pPr>
      <w:rPr>
        <w:rFonts w:ascii="Arial" w:hAnsi="Arial" w:cs="Times New Roman" w:hint="default"/>
        <w:b/>
        <w:i w:val="0"/>
        <w:sz w:val="19"/>
      </w:rPr>
    </w:lvl>
    <w:lvl w:ilvl="1">
      <w:start w:val="1"/>
      <w:numFmt w:val="decimal"/>
      <w:lvlText w:val="%2.%1"/>
      <w:lvlJc w:val="left"/>
      <w:pPr>
        <w:ind w:left="720" w:hanging="360"/>
      </w:pPr>
      <w:rPr>
        <w:rFonts w:ascii="Arial" w:hAnsi="Arial" w:cs="Times New Roman" w:hint="default"/>
        <w:b w:val="0"/>
        <w:i w:val="0"/>
        <w:sz w:val="19"/>
      </w:rPr>
    </w:lvl>
    <w:lvl w:ilvl="2">
      <w:start w:val="1"/>
      <w:numFmt w:val="decimal"/>
      <w:lvlText w:val="%2.%1.%3"/>
      <w:lvlJc w:val="left"/>
      <w:pPr>
        <w:ind w:left="1080" w:hanging="360"/>
      </w:pPr>
      <w:rPr>
        <w:rFonts w:ascii="Arial" w:hAnsi="Arial" w:cs="Times New Roman" w:hint="default"/>
        <w:b w:val="0"/>
        <w:i w:val="0"/>
        <w:sz w:val="19"/>
      </w:rPr>
    </w:lvl>
    <w:lvl w:ilvl="3">
      <w:start w:val="1"/>
      <w:numFmt w:val="decimal"/>
      <w:lvlText w:val="%2.%1.%3.%4"/>
      <w:lvlJc w:val="left"/>
      <w:pPr>
        <w:ind w:left="1440" w:hanging="360"/>
      </w:pPr>
      <w:rPr>
        <w:rFonts w:ascii="Arial" w:hAnsi="Arial" w:cs="Times New Roman" w:hint="default"/>
        <w:b w:val="0"/>
        <w:i w:val="0"/>
        <w:sz w:val="19"/>
      </w:rPr>
    </w:lvl>
    <w:lvl w:ilvl="4">
      <w:start w:val="1"/>
      <w:numFmt w:val="decimal"/>
      <w:lvlText w:val="%2.%4.%3.%5.%1"/>
      <w:lvlJc w:val="left"/>
      <w:pPr>
        <w:ind w:left="1800" w:hanging="360"/>
      </w:pPr>
      <w:rPr>
        <w:rFonts w:ascii="Arial" w:hAnsi="Arial" w:cs="Times New Roman" w:hint="default"/>
        <w:b w:val="0"/>
        <w:i/>
        <w:sz w:val="19"/>
      </w:rPr>
    </w:lvl>
    <w:lvl w:ilvl="5">
      <w:start w:val="1"/>
      <w:numFmt w:val="decimal"/>
      <w:lvlText w:val="%2.%1.%3.%4.%5.%6"/>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C46D59"/>
    <w:multiLevelType w:val="hybridMultilevel"/>
    <w:tmpl w:val="68BA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76552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778922BA"/>
    <w:multiLevelType w:val="multilevel"/>
    <w:tmpl w:val="4AD42D34"/>
    <w:lvl w:ilvl="0">
      <w:start w:val="1"/>
      <w:numFmt w:val="decimal"/>
      <w:lvlText w:val="%1"/>
      <w:lvlJc w:val="left"/>
      <w:pPr>
        <w:ind w:left="360" w:hanging="360"/>
      </w:pPr>
      <w:rPr>
        <w:rFonts w:ascii="Arial" w:hAnsi="Arial" w:cs="Times New Roman" w:hint="default"/>
        <w:b/>
        <w:i w:val="0"/>
        <w:sz w:val="19"/>
      </w:rPr>
    </w:lvl>
    <w:lvl w:ilvl="1">
      <w:start w:val="1"/>
      <w:numFmt w:val="decimal"/>
      <w:lvlText w:val="%2.%1"/>
      <w:lvlJc w:val="left"/>
      <w:pPr>
        <w:ind w:left="720" w:hanging="360"/>
      </w:pPr>
      <w:rPr>
        <w:rFonts w:ascii="Arial" w:hAnsi="Arial" w:cs="Times New Roman" w:hint="default"/>
        <w:b w:val="0"/>
        <w:i w:val="0"/>
        <w:sz w:val="19"/>
      </w:rPr>
    </w:lvl>
    <w:lvl w:ilvl="2">
      <w:start w:val="1"/>
      <w:numFmt w:val="decimal"/>
      <w:lvlText w:val="%2%1%3"/>
      <w:lvlJc w:val="left"/>
      <w:pPr>
        <w:ind w:left="1080" w:hanging="360"/>
      </w:pPr>
      <w:rPr>
        <w:rFonts w:ascii="Arial" w:hAnsi="Arial" w:cs="Times New Roman" w:hint="default"/>
        <w:b w:val="0"/>
        <w:i w:val="0"/>
        <w:sz w:val="19"/>
      </w:rPr>
    </w:lvl>
    <w:lvl w:ilvl="3">
      <w:start w:val="1"/>
      <w:numFmt w:val="decimal"/>
      <w:lvlText w:val="%4%1%2%3"/>
      <w:lvlJc w:val="left"/>
      <w:pPr>
        <w:ind w:left="1440" w:hanging="360"/>
      </w:pPr>
      <w:rPr>
        <w:rFonts w:ascii="Arial" w:hAnsi="Arial" w:cs="Times New Roman" w:hint="default"/>
        <w:b w:val="0"/>
        <w:i w:val="0"/>
        <w:sz w:val="19"/>
      </w:rPr>
    </w:lvl>
    <w:lvl w:ilvl="4">
      <w:start w:val="1"/>
      <w:numFmt w:val="decimal"/>
      <w:lvlText w:val="%5.%1.%2.%3.%4"/>
      <w:lvlJc w:val="left"/>
      <w:pPr>
        <w:ind w:left="1800" w:hanging="360"/>
      </w:pPr>
      <w:rPr>
        <w:rFonts w:ascii="Arial" w:hAnsi="Arial" w:cs="Times New Roman" w:hint="default"/>
        <w:b w:val="0"/>
        <w:i/>
        <w:sz w:val="19"/>
      </w:rPr>
    </w:lvl>
    <w:lvl w:ilvl="5">
      <w:start w:val="1"/>
      <w:numFmt w:val="decimal"/>
      <w:lvlText w:val="%6.%1.%2.%3.%4.%5"/>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7"/>
  </w:num>
  <w:num w:numId="2">
    <w:abstractNumId w:val="9"/>
  </w:num>
  <w:num w:numId="3">
    <w:abstractNumId w:val="7"/>
  </w:num>
  <w:num w:numId="4">
    <w:abstractNumId w:val="36"/>
  </w:num>
  <w:num w:numId="5">
    <w:abstractNumId w:val="23"/>
  </w:num>
  <w:num w:numId="6">
    <w:abstractNumId w:val="25"/>
  </w:num>
  <w:num w:numId="7">
    <w:abstractNumId w:val="3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9"/>
  </w:num>
  <w:num w:numId="25">
    <w:abstractNumId w:val="28"/>
  </w:num>
  <w:num w:numId="26">
    <w:abstractNumId w:val="33"/>
  </w:num>
  <w:num w:numId="27">
    <w:abstractNumId w:val="30"/>
  </w:num>
  <w:num w:numId="28">
    <w:abstractNumId w:val="24"/>
  </w:num>
  <w:num w:numId="29">
    <w:abstractNumId w:val="34"/>
  </w:num>
  <w:num w:numId="30">
    <w:abstractNumId w:val="32"/>
  </w:num>
  <w:num w:numId="31">
    <w:abstractNumId w:val="17"/>
  </w:num>
  <w:num w:numId="32">
    <w:abstractNumId w:val="29"/>
  </w:num>
  <w:num w:numId="33">
    <w:abstractNumId w:val="35"/>
  </w:num>
  <w:num w:numId="34">
    <w:abstractNumId w:val="16"/>
  </w:num>
  <w:num w:numId="35">
    <w:abstractNumId w:val="19"/>
  </w:num>
  <w:num w:numId="36">
    <w:abstractNumId w:val="37"/>
  </w:num>
  <w:num w:numId="37">
    <w:abstractNumId w:val="10"/>
  </w:num>
  <w:num w:numId="38">
    <w:abstractNumId w:val="11"/>
  </w:num>
  <w:num w:numId="39">
    <w:abstractNumId w:val="22"/>
  </w:num>
  <w:num w:numId="40">
    <w:abstractNumId w:val="12"/>
  </w:num>
  <w:num w:numId="41">
    <w:abstractNumId w:val="21"/>
  </w:num>
  <w:num w:numId="42">
    <w:abstractNumId w:val="23"/>
  </w:num>
  <w:num w:numId="43">
    <w:abstractNumId w:val="23"/>
  </w:num>
  <w:num w:numId="44">
    <w:abstractNumId w:val="23"/>
  </w:num>
  <w:num w:numId="45">
    <w:abstractNumId w:val="20"/>
  </w:num>
  <w:num w:numId="46">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ocumentProtection w:edit="readOnly" w:enforcement="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F19"/>
    <w:rsid w:val="000016A5"/>
    <w:rsid w:val="00020A5B"/>
    <w:rsid w:val="00030C5B"/>
    <w:rsid w:val="00032A80"/>
    <w:rsid w:val="00070FC4"/>
    <w:rsid w:val="00071987"/>
    <w:rsid w:val="0007344D"/>
    <w:rsid w:val="00074D2F"/>
    <w:rsid w:val="0007555C"/>
    <w:rsid w:val="00075C1E"/>
    <w:rsid w:val="0008794A"/>
    <w:rsid w:val="00094312"/>
    <w:rsid w:val="00095956"/>
    <w:rsid w:val="00095FE3"/>
    <w:rsid w:val="00097704"/>
    <w:rsid w:val="000A252F"/>
    <w:rsid w:val="000A25AE"/>
    <w:rsid w:val="000A3642"/>
    <w:rsid w:val="000A6DDF"/>
    <w:rsid w:val="000B024D"/>
    <w:rsid w:val="000B7751"/>
    <w:rsid w:val="000C07D2"/>
    <w:rsid w:val="000C1AF3"/>
    <w:rsid w:val="000D7DB9"/>
    <w:rsid w:val="0011692E"/>
    <w:rsid w:val="001206DF"/>
    <w:rsid w:val="0012336B"/>
    <w:rsid w:val="001349B4"/>
    <w:rsid w:val="00137B33"/>
    <w:rsid w:val="00143AD7"/>
    <w:rsid w:val="001452B6"/>
    <w:rsid w:val="00146657"/>
    <w:rsid w:val="00152945"/>
    <w:rsid w:val="00156F96"/>
    <w:rsid w:val="0017198C"/>
    <w:rsid w:val="00174AFE"/>
    <w:rsid w:val="00175E25"/>
    <w:rsid w:val="00182989"/>
    <w:rsid w:val="00182C05"/>
    <w:rsid w:val="001A19F7"/>
    <w:rsid w:val="001A3801"/>
    <w:rsid w:val="001A4B95"/>
    <w:rsid w:val="001A4E24"/>
    <w:rsid w:val="001A659D"/>
    <w:rsid w:val="001B6E17"/>
    <w:rsid w:val="001B6FE6"/>
    <w:rsid w:val="001C2EF4"/>
    <w:rsid w:val="001D1F6D"/>
    <w:rsid w:val="001E4204"/>
    <w:rsid w:val="001F0C13"/>
    <w:rsid w:val="002066F3"/>
    <w:rsid w:val="00207FCC"/>
    <w:rsid w:val="00210E5E"/>
    <w:rsid w:val="00213203"/>
    <w:rsid w:val="00220042"/>
    <w:rsid w:val="00235D74"/>
    <w:rsid w:val="00236144"/>
    <w:rsid w:val="00240C46"/>
    <w:rsid w:val="0024576C"/>
    <w:rsid w:val="0025249F"/>
    <w:rsid w:val="00253BF6"/>
    <w:rsid w:val="002557C9"/>
    <w:rsid w:val="00260A1D"/>
    <w:rsid w:val="0027049D"/>
    <w:rsid w:val="00270641"/>
    <w:rsid w:val="00272EE5"/>
    <w:rsid w:val="00274E01"/>
    <w:rsid w:val="002A053C"/>
    <w:rsid w:val="002A2D62"/>
    <w:rsid w:val="002D5FCD"/>
    <w:rsid w:val="002D7602"/>
    <w:rsid w:val="002E32BC"/>
    <w:rsid w:val="002F6657"/>
    <w:rsid w:val="003038D5"/>
    <w:rsid w:val="00306347"/>
    <w:rsid w:val="00310F8B"/>
    <w:rsid w:val="0031390F"/>
    <w:rsid w:val="00313948"/>
    <w:rsid w:val="0031599A"/>
    <w:rsid w:val="00326957"/>
    <w:rsid w:val="003530AF"/>
    <w:rsid w:val="00360EB6"/>
    <w:rsid w:val="00362BC5"/>
    <w:rsid w:val="00362F39"/>
    <w:rsid w:val="00375271"/>
    <w:rsid w:val="0038493E"/>
    <w:rsid w:val="003849AA"/>
    <w:rsid w:val="00392F8B"/>
    <w:rsid w:val="00392FE4"/>
    <w:rsid w:val="00394C79"/>
    <w:rsid w:val="003977EF"/>
    <w:rsid w:val="003A1398"/>
    <w:rsid w:val="003B5F9F"/>
    <w:rsid w:val="003D424B"/>
    <w:rsid w:val="003D6630"/>
    <w:rsid w:val="003F18CD"/>
    <w:rsid w:val="003F22DC"/>
    <w:rsid w:val="003F4E42"/>
    <w:rsid w:val="0040246A"/>
    <w:rsid w:val="00402DEA"/>
    <w:rsid w:val="00403933"/>
    <w:rsid w:val="004040B0"/>
    <w:rsid w:val="004169EC"/>
    <w:rsid w:val="0042148A"/>
    <w:rsid w:val="00422C6D"/>
    <w:rsid w:val="004257D7"/>
    <w:rsid w:val="00431F56"/>
    <w:rsid w:val="00437735"/>
    <w:rsid w:val="00441746"/>
    <w:rsid w:val="004460C4"/>
    <w:rsid w:val="004462E3"/>
    <w:rsid w:val="00457140"/>
    <w:rsid w:val="00460483"/>
    <w:rsid w:val="00496B11"/>
    <w:rsid w:val="00496CE1"/>
    <w:rsid w:val="004A14ED"/>
    <w:rsid w:val="004A4BA5"/>
    <w:rsid w:val="004A531E"/>
    <w:rsid w:val="004A6011"/>
    <w:rsid w:val="004A6C86"/>
    <w:rsid w:val="004B4FFD"/>
    <w:rsid w:val="004B53E6"/>
    <w:rsid w:val="004B67CC"/>
    <w:rsid w:val="004C770E"/>
    <w:rsid w:val="004F4542"/>
    <w:rsid w:val="00505FF4"/>
    <w:rsid w:val="005309E9"/>
    <w:rsid w:val="00532D0A"/>
    <w:rsid w:val="0055251E"/>
    <w:rsid w:val="0057284A"/>
    <w:rsid w:val="00582B72"/>
    <w:rsid w:val="005936FF"/>
    <w:rsid w:val="005A25BD"/>
    <w:rsid w:val="005B45B9"/>
    <w:rsid w:val="005B4CAD"/>
    <w:rsid w:val="005D670E"/>
    <w:rsid w:val="005F0693"/>
    <w:rsid w:val="005F08A8"/>
    <w:rsid w:val="005F1143"/>
    <w:rsid w:val="00606BC7"/>
    <w:rsid w:val="00610E17"/>
    <w:rsid w:val="006116F5"/>
    <w:rsid w:val="00624DC2"/>
    <w:rsid w:val="006328F5"/>
    <w:rsid w:val="006346EF"/>
    <w:rsid w:val="00634BC9"/>
    <w:rsid w:val="00644D89"/>
    <w:rsid w:val="00651D5B"/>
    <w:rsid w:val="006620EF"/>
    <w:rsid w:val="00670284"/>
    <w:rsid w:val="00681EC0"/>
    <w:rsid w:val="0068463D"/>
    <w:rsid w:val="006859B7"/>
    <w:rsid w:val="00690F8F"/>
    <w:rsid w:val="006A494E"/>
    <w:rsid w:val="006B54B7"/>
    <w:rsid w:val="006B5D7A"/>
    <w:rsid w:val="006C296C"/>
    <w:rsid w:val="006C42D7"/>
    <w:rsid w:val="006D02FC"/>
    <w:rsid w:val="006D09CD"/>
    <w:rsid w:val="006D6107"/>
    <w:rsid w:val="006E36DF"/>
    <w:rsid w:val="006F2C90"/>
    <w:rsid w:val="006F433C"/>
    <w:rsid w:val="006F6C05"/>
    <w:rsid w:val="006F71E5"/>
    <w:rsid w:val="007021D8"/>
    <w:rsid w:val="00711003"/>
    <w:rsid w:val="00721289"/>
    <w:rsid w:val="00725BA4"/>
    <w:rsid w:val="00726878"/>
    <w:rsid w:val="00726CE6"/>
    <w:rsid w:val="00726FE1"/>
    <w:rsid w:val="00733A7E"/>
    <w:rsid w:val="00743B50"/>
    <w:rsid w:val="00750341"/>
    <w:rsid w:val="00755063"/>
    <w:rsid w:val="00777B34"/>
    <w:rsid w:val="00781B17"/>
    <w:rsid w:val="0078250C"/>
    <w:rsid w:val="00783127"/>
    <w:rsid w:val="007877D4"/>
    <w:rsid w:val="0079594D"/>
    <w:rsid w:val="007A1AEE"/>
    <w:rsid w:val="007A43F4"/>
    <w:rsid w:val="007A44D3"/>
    <w:rsid w:val="007A5908"/>
    <w:rsid w:val="007A5DA4"/>
    <w:rsid w:val="007B7F19"/>
    <w:rsid w:val="007D22CE"/>
    <w:rsid w:val="007D3B89"/>
    <w:rsid w:val="007D6A74"/>
    <w:rsid w:val="007F11EE"/>
    <w:rsid w:val="008201A2"/>
    <w:rsid w:val="00845094"/>
    <w:rsid w:val="00847CA7"/>
    <w:rsid w:val="008503A8"/>
    <w:rsid w:val="00856B36"/>
    <w:rsid w:val="00860775"/>
    <w:rsid w:val="008675F6"/>
    <w:rsid w:val="00875E04"/>
    <w:rsid w:val="00882CB6"/>
    <w:rsid w:val="00887E9A"/>
    <w:rsid w:val="008A7E44"/>
    <w:rsid w:val="008B232F"/>
    <w:rsid w:val="008B2E3C"/>
    <w:rsid w:val="008B3AF0"/>
    <w:rsid w:val="008B3E76"/>
    <w:rsid w:val="008B4AC0"/>
    <w:rsid w:val="008C35E7"/>
    <w:rsid w:val="008C3FA4"/>
    <w:rsid w:val="008C5EDC"/>
    <w:rsid w:val="008E4E07"/>
    <w:rsid w:val="008E5FC6"/>
    <w:rsid w:val="008E6769"/>
    <w:rsid w:val="008E7ED1"/>
    <w:rsid w:val="008F4C12"/>
    <w:rsid w:val="009001CE"/>
    <w:rsid w:val="00900826"/>
    <w:rsid w:val="00907754"/>
    <w:rsid w:val="0091097D"/>
    <w:rsid w:val="00917132"/>
    <w:rsid w:val="00926186"/>
    <w:rsid w:val="0093353B"/>
    <w:rsid w:val="00935030"/>
    <w:rsid w:val="009548C7"/>
    <w:rsid w:val="00956973"/>
    <w:rsid w:val="00962584"/>
    <w:rsid w:val="00984B69"/>
    <w:rsid w:val="00991839"/>
    <w:rsid w:val="009A51A3"/>
    <w:rsid w:val="009A7AFF"/>
    <w:rsid w:val="009C4833"/>
    <w:rsid w:val="009D0EC2"/>
    <w:rsid w:val="009D4C63"/>
    <w:rsid w:val="009D7ED9"/>
    <w:rsid w:val="009E21D5"/>
    <w:rsid w:val="009E63FC"/>
    <w:rsid w:val="009F568A"/>
    <w:rsid w:val="00A0681B"/>
    <w:rsid w:val="00A06919"/>
    <w:rsid w:val="00A40230"/>
    <w:rsid w:val="00A545C8"/>
    <w:rsid w:val="00A6270A"/>
    <w:rsid w:val="00A72DBF"/>
    <w:rsid w:val="00A81CF2"/>
    <w:rsid w:val="00A97651"/>
    <w:rsid w:val="00AA4B2C"/>
    <w:rsid w:val="00AB22F4"/>
    <w:rsid w:val="00AC292D"/>
    <w:rsid w:val="00AC78BF"/>
    <w:rsid w:val="00AD41A1"/>
    <w:rsid w:val="00AE0D5E"/>
    <w:rsid w:val="00AE5FAD"/>
    <w:rsid w:val="00AF123B"/>
    <w:rsid w:val="00B12C89"/>
    <w:rsid w:val="00B20785"/>
    <w:rsid w:val="00B219B5"/>
    <w:rsid w:val="00B23654"/>
    <w:rsid w:val="00B238EE"/>
    <w:rsid w:val="00B26AB7"/>
    <w:rsid w:val="00B26B5C"/>
    <w:rsid w:val="00B3675D"/>
    <w:rsid w:val="00B40250"/>
    <w:rsid w:val="00B42817"/>
    <w:rsid w:val="00B56763"/>
    <w:rsid w:val="00B60C55"/>
    <w:rsid w:val="00B63DAA"/>
    <w:rsid w:val="00B670CC"/>
    <w:rsid w:val="00B83A38"/>
    <w:rsid w:val="00B8478F"/>
    <w:rsid w:val="00B93FA4"/>
    <w:rsid w:val="00BB2B77"/>
    <w:rsid w:val="00BB3322"/>
    <w:rsid w:val="00BB45CE"/>
    <w:rsid w:val="00BB71C5"/>
    <w:rsid w:val="00BC41A6"/>
    <w:rsid w:val="00BD5CD5"/>
    <w:rsid w:val="00BE6734"/>
    <w:rsid w:val="00C17575"/>
    <w:rsid w:val="00C34D96"/>
    <w:rsid w:val="00C40FE6"/>
    <w:rsid w:val="00C444B3"/>
    <w:rsid w:val="00C4496F"/>
    <w:rsid w:val="00C53F18"/>
    <w:rsid w:val="00C60815"/>
    <w:rsid w:val="00C76F3C"/>
    <w:rsid w:val="00C80343"/>
    <w:rsid w:val="00C914DA"/>
    <w:rsid w:val="00C9362B"/>
    <w:rsid w:val="00C97A0D"/>
    <w:rsid w:val="00CA01E2"/>
    <w:rsid w:val="00CA7DD2"/>
    <w:rsid w:val="00CB0293"/>
    <w:rsid w:val="00CB40D6"/>
    <w:rsid w:val="00CC08EE"/>
    <w:rsid w:val="00CC2D6C"/>
    <w:rsid w:val="00CD44BA"/>
    <w:rsid w:val="00CD7E26"/>
    <w:rsid w:val="00CE00BE"/>
    <w:rsid w:val="00CE77E6"/>
    <w:rsid w:val="00D1104D"/>
    <w:rsid w:val="00D63A91"/>
    <w:rsid w:val="00D70712"/>
    <w:rsid w:val="00D727B7"/>
    <w:rsid w:val="00D975C9"/>
    <w:rsid w:val="00DC6C4A"/>
    <w:rsid w:val="00DE50F2"/>
    <w:rsid w:val="00DE62DC"/>
    <w:rsid w:val="00DF1310"/>
    <w:rsid w:val="00DF22A0"/>
    <w:rsid w:val="00E13D82"/>
    <w:rsid w:val="00E1593C"/>
    <w:rsid w:val="00E23F79"/>
    <w:rsid w:val="00E2425D"/>
    <w:rsid w:val="00E25E6F"/>
    <w:rsid w:val="00E3037D"/>
    <w:rsid w:val="00E31DB4"/>
    <w:rsid w:val="00E421C0"/>
    <w:rsid w:val="00E42428"/>
    <w:rsid w:val="00E42491"/>
    <w:rsid w:val="00E425C2"/>
    <w:rsid w:val="00E4734A"/>
    <w:rsid w:val="00E65A60"/>
    <w:rsid w:val="00E70644"/>
    <w:rsid w:val="00E8151A"/>
    <w:rsid w:val="00E83DFD"/>
    <w:rsid w:val="00E91EAE"/>
    <w:rsid w:val="00EC7BAD"/>
    <w:rsid w:val="00ED07B3"/>
    <w:rsid w:val="00ED39F8"/>
    <w:rsid w:val="00ED6B25"/>
    <w:rsid w:val="00ED7804"/>
    <w:rsid w:val="00EE0B0C"/>
    <w:rsid w:val="00EE67A7"/>
    <w:rsid w:val="00F0558E"/>
    <w:rsid w:val="00F06DA9"/>
    <w:rsid w:val="00F1784D"/>
    <w:rsid w:val="00F17F4C"/>
    <w:rsid w:val="00F2676F"/>
    <w:rsid w:val="00F35321"/>
    <w:rsid w:val="00F433F7"/>
    <w:rsid w:val="00F46BEA"/>
    <w:rsid w:val="00F60038"/>
    <w:rsid w:val="00F62292"/>
    <w:rsid w:val="00F65BCE"/>
    <w:rsid w:val="00F856FB"/>
    <w:rsid w:val="00F85DDA"/>
    <w:rsid w:val="00F93335"/>
    <w:rsid w:val="00FB533A"/>
    <w:rsid w:val="00FC2858"/>
    <w:rsid w:val="00FC41B7"/>
    <w:rsid w:val="00FE07E4"/>
    <w:rsid w:val="00FE46AF"/>
    <w:rsid w:val="00FF5605"/>
    <w:rsid w:val="00FF5F17"/>
    <w:rsid w:val="00FF73B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B7F19"/>
    <w:rPr>
      <w:sz w:val="24"/>
      <w:szCs w:val="24"/>
    </w:rPr>
  </w:style>
  <w:style w:type="paragraph" w:styleId="Heading1">
    <w:name w:val="heading 1"/>
    <w:basedOn w:val="Normal"/>
    <w:next w:val="Heading2"/>
    <w:link w:val="Heading1Char"/>
    <w:uiPriority w:val="99"/>
    <w:qFormat/>
    <w:rsid w:val="00B20785"/>
    <w:pPr>
      <w:keepNext/>
      <w:pageBreakBefore/>
      <w:numPr>
        <w:numId w:val="5"/>
      </w:numPr>
      <w:spacing w:after="800"/>
      <w:ind w:left="851" w:hanging="851"/>
      <w:outlineLvl w:val="0"/>
    </w:pPr>
    <w:rPr>
      <w:rFonts w:ascii="Times New Roman Bold" w:hAnsi="Times New Roman Bold" w:cs="Arial"/>
      <w:bCs/>
      <w:color w:val="002776"/>
      <w:kern w:val="32"/>
      <w:sz w:val="60"/>
      <w:szCs w:val="32"/>
      <w:lang w:val="en-US" w:eastAsia="en-US"/>
    </w:rPr>
  </w:style>
  <w:style w:type="paragraph" w:styleId="Heading2">
    <w:name w:val="heading 2"/>
    <w:basedOn w:val="Heading1"/>
    <w:next w:val="Heading3"/>
    <w:link w:val="Heading2Char"/>
    <w:uiPriority w:val="99"/>
    <w:qFormat/>
    <w:rsid w:val="00E421C0"/>
    <w:pPr>
      <w:pageBreakBefore w:val="0"/>
      <w:numPr>
        <w:ilvl w:val="1"/>
      </w:numPr>
      <w:spacing w:before="240" w:after="240"/>
      <w:outlineLvl w:val="1"/>
    </w:pPr>
    <w:rPr>
      <w:rFonts w:ascii="Arial" w:hAnsi="Arial"/>
      <w:b/>
      <w:bCs w:val="0"/>
      <w:iCs/>
      <w:color w:val="92D400"/>
      <w:sz w:val="24"/>
      <w:szCs w:val="24"/>
    </w:rPr>
  </w:style>
  <w:style w:type="paragraph" w:styleId="Heading3">
    <w:name w:val="heading 3"/>
    <w:basedOn w:val="Heading2"/>
    <w:next w:val="Normal"/>
    <w:link w:val="Heading3Char"/>
    <w:uiPriority w:val="99"/>
    <w:qFormat/>
    <w:rsid w:val="00E421C0"/>
    <w:pPr>
      <w:numPr>
        <w:ilvl w:val="2"/>
      </w:numPr>
      <w:outlineLvl w:val="2"/>
    </w:pPr>
    <w:rPr>
      <w:bCs/>
      <w:color w:val="3C8A2E"/>
      <w:szCs w:val="26"/>
    </w:rPr>
  </w:style>
  <w:style w:type="paragraph" w:styleId="Heading4">
    <w:name w:val="heading 4"/>
    <w:basedOn w:val="Normal"/>
    <w:next w:val="Normal"/>
    <w:link w:val="Heading4Char"/>
    <w:uiPriority w:val="99"/>
    <w:qFormat/>
    <w:rsid w:val="0008794A"/>
    <w:pPr>
      <w:keepNext/>
      <w:keepLines/>
      <w:numPr>
        <w:ilvl w:val="3"/>
        <w:numId w:val="5"/>
      </w:numPr>
      <w:spacing w:before="240" w:after="240"/>
      <w:outlineLvl w:val="3"/>
    </w:pPr>
    <w:rPr>
      <w:b/>
      <w:bCs/>
      <w:iCs/>
    </w:rPr>
  </w:style>
  <w:style w:type="paragraph" w:styleId="Heading5">
    <w:name w:val="heading 5"/>
    <w:basedOn w:val="Normal"/>
    <w:next w:val="Normal"/>
    <w:link w:val="Heading5Char"/>
    <w:uiPriority w:val="99"/>
    <w:qFormat/>
    <w:rsid w:val="0008794A"/>
    <w:pPr>
      <w:keepNext/>
      <w:keepLines/>
      <w:numPr>
        <w:ilvl w:val="4"/>
        <w:numId w:val="5"/>
      </w:numPr>
      <w:spacing w:before="240" w:after="240"/>
      <w:outlineLvl w:val="4"/>
    </w:pPr>
    <w:rPr>
      <w:b/>
      <w:i/>
      <w:color w:val="00133A"/>
    </w:rPr>
  </w:style>
  <w:style w:type="paragraph" w:styleId="Heading6">
    <w:name w:val="heading 6"/>
    <w:basedOn w:val="Normal"/>
    <w:next w:val="Normal"/>
    <w:link w:val="Heading6Char"/>
    <w:uiPriority w:val="99"/>
    <w:qFormat/>
    <w:rsid w:val="0008794A"/>
    <w:pPr>
      <w:keepNext/>
      <w:keepLines/>
      <w:numPr>
        <w:ilvl w:val="5"/>
        <w:numId w:val="5"/>
      </w:numPr>
      <w:spacing w:before="240" w:after="240"/>
      <w:ind w:left="1418" w:hanging="1418"/>
      <w:outlineLvl w:val="5"/>
    </w:pPr>
    <w:rPr>
      <w:i/>
      <w:iCs/>
      <w:color w:val="00133A"/>
    </w:rPr>
  </w:style>
  <w:style w:type="paragraph" w:styleId="Heading7">
    <w:name w:val="heading 7"/>
    <w:basedOn w:val="Normal"/>
    <w:next w:val="Normal"/>
    <w:link w:val="Heading7Char"/>
    <w:uiPriority w:val="99"/>
    <w:qFormat/>
    <w:rsid w:val="00E421C0"/>
    <w:pPr>
      <w:keepNext/>
      <w:keepLines/>
      <w:numPr>
        <w:ilvl w:val="6"/>
        <w:numId w:val="5"/>
      </w:numPr>
      <w:spacing w:before="240" w:after="240"/>
      <w:ind w:left="1576" w:hanging="1576"/>
      <w:outlineLvl w:val="6"/>
    </w:pPr>
    <w:rPr>
      <w:i/>
      <w:iCs/>
      <w:color w:val="404040"/>
      <w:sz w:val="22"/>
    </w:rPr>
  </w:style>
  <w:style w:type="paragraph" w:styleId="Heading8">
    <w:name w:val="heading 8"/>
    <w:basedOn w:val="Normal"/>
    <w:next w:val="Normal"/>
    <w:link w:val="Heading8Char"/>
    <w:uiPriority w:val="99"/>
    <w:qFormat/>
    <w:rsid w:val="00E421C0"/>
    <w:pPr>
      <w:keepNext/>
      <w:keepLines/>
      <w:numPr>
        <w:ilvl w:val="7"/>
        <w:numId w:val="5"/>
      </w:numPr>
      <w:spacing w:before="240" w:after="240"/>
      <w:ind w:left="1701" w:hanging="1701"/>
      <w:outlineLvl w:val="7"/>
    </w:pPr>
    <w:rPr>
      <w:i/>
      <w:color w:val="404040"/>
      <w:sz w:val="20"/>
      <w:szCs w:val="20"/>
    </w:rPr>
  </w:style>
  <w:style w:type="paragraph" w:styleId="Heading9">
    <w:name w:val="heading 9"/>
    <w:basedOn w:val="Normal"/>
    <w:next w:val="Normal"/>
    <w:link w:val="Heading9Char"/>
    <w:uiPriority w:val="99"/>
    <w:qFormat/>
    <w:rsid w:val="00E421C0"/>
    <w:pPr>
      <w:keepNext/>
      <w:keepLines/>
      <w:numPr>
        <w:ilvl w:val="8"/>
        <w:numId w:val="5"/>
      </w:numPr>
      <w:spacing w:before="240" w:after="240"/>
      <w:ind w:left="1985" w:hanging="1985"/>
      <w:outlineLvl w:val="8"/>
    </w:pPr>
    <w:rPr>
      <w:i/>
      <w:iCs/>
      <w:color w:val="404040"/>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0712"/>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D70712"/>
    <w:rPr>
      <w:rFonts w:ascii="Arial" w:hAnsi="Arial" w:cs="Arial"/>
      <w:b/>
      <w:iCs/>
      <w:color w:val="92D400"/>
      <w:kern w:val="32"/>
      <w:sz w:val="24"/>
      <w:szCs w:val="24"/>
      <w:lang w:val="en-US" w:eastAsia="en-US"/>
    </w:rPr>
  </w:style>
  <w:style w:type="character" w:customStyle="1" w:styleId="Heading3Char">
    <w:name w:val="Heading 3 Char"/>
    <w:basedOn w:val="DefaultParagraphFont"/>
    <w:link w:val="Heading3"/>
    <w:uiPriority w:val="99"/>
    <w:semiHidden/>
    <w:locked/>
    <w:rsid w:val="00D70712"/>
    <w:rPr>
      <w:rFonts w:ascii="Cambria" w:hAnsi="Cambria" w:cs="Times New Roman"/>
      <w:b/>
      <w:bCs/>
      <w:sz w:val="26"/>
      <w:szCs w:val="26"/>
    </w:rPr>
  </w:style>
  <w:style w:type="character" w:customStyle="1" w:styleId="Heading4Char">
    <w:name w:val="Heading 4 Char"/>
    <w:basedOn w:val="DefaultParagraphFont"/>
    <w:link w:val="Heading4"/>
    <w:uiPriority w:val="99"/>
    <w:locked/>
    <w:rsid w:val="0008794A"/>
    <w:rPr>
      <w:rFonts w:ascii="Arial" w:hAnsi="Arial" w:cs="Times New Roman"/>
      <w:b/>
      <w:bCs/>
      <w:iCs/>
      <w:sz w:val="24"/>
      <w:szCs w:val="24"/>
    </w:rPr>
  </w:style>
  <w:style w:type="character" w:customStyle="1" w:styleId="Heading5Char">
    <w:name w:val="Heading 5 Char"/>
    <w:basedOn w:val="DefaultParagraphFont"/>
    <w:link w:val="Heading5"/>
    <w:uiPriority w:val="99"/>
    <w:locked/>
    <w:rsid w:val="0008794A"/>
    <w:rPr>
      <w:rFonts w:ascii="Arial" w:hAnsi="Arial" w:cs="Times New Roman"/>
      <w:b/>
      <w:i/>
      <w:color w:val="00133A"/>
      <w:sz w:val="24"/>
      <w:szCs w:val="24"/>
    </w:rPr>
  </w:style>
  <w:style w:type="character" w:customStyle="1" w:styleId="Heading6Char">
    <w:name w:val="Heading 6 Char"/>
    <w:basedOn w:val="DefaultParagraphFont"/>
    <w:link w:val="Heading6"/>
    <w:uiPriority w:val="99"/>
    <w:locked/>
    <w:rsid w:val="0008794A"/>
    <w:rPr>
      <w:rFonts w:ascii="Arial" w:hAnsi="Arial" w:cs="Times New Roman"/>
      <w:i/>
      <w:iCs/>
      <w:color w:val="00133A"/>
      <w:sz w:val="24"/>
      <w:szCs w:val="24"/>
    </w:rPr>
  </w:style>
  <w:style w:type="character" w:customStyle="1" w:styleId="Heading7Char">
    <w:name w:val="Heading 7 Char"/>
    <w:basedOn w:val="DefaultParagraphFont"/>
    <w:link w:val="Heading7"/>
    <w:uiPriority w:val="99"/>
    <w:locked/>
    <w:rsid w:val="00E421C0"/>
    <w:rPr>
      <w:rFonts w:ascii="Arial" w:hAnsi="Arial" w:cs="Times New Roman"/>
      <w:i/>
      <w:iCs/>
      <w:color w:val="404040"/>
      <w:sz w:val="24"/>
      <w:szCs w:val="24"/>
    </w:rPr>
  </w:style>
  <w:style w:type="character" w:customStyle="1" w:styleId="Heading8Char">
    <w:name w:val="Heading 8 Char"/>
    <w:basedOn w:val="DefaultParagraphFont"/>
    <w:link w:val="Heading8"/>
    <w:uiPriority w:val="99"/>
    <w:semiHidden/>
    <w:locked/>
    <w:rsid w:val="00E421C0"/>
    <w:rPr>
      <w:rFonts w:ascii="Arial" w:hAnsi="Arial" w:cs="Times New Roman"/>
      <w:i/>
      <w:color w:val="404040"/>
    </w:rPr>
  </w:style>
  <w:style w:type="character" w:customStyle="1" w:styleId="Heading9Char">
    <w:name w:val="Heading 9 Char"/>
    <w:basedOn w:val="DefaultParagraphFont"/>
    <w:link w:val="Heading9"/>
    <w:uiPriority w:val="99"/>
    <w:semiHidden/>
    <w:locked/>
    <w:rsid w:val="00E421C0"/>
    <w:rPr>
      <w:rFonts w:ascii="Arial" w:hAnsi="Arial" w:cs="Times New Roman"/>
      <w:i/>
      <w:iCs/>
      <w:color w:val="404040"/>
      <w:sz w:val="18"/>
    </w:rPr>
  </w:style>
  <w:style w:type="paragraph" w:styleId="BalloonText">
    <w:name w:val="Balloon Text"/>
    <w:basedOn w:val="Normal"/>
    <w:link w:val="BalloonTextChar"/>
    <w:uiPriority w:val="99"/>
    <w:semiHidden/>
    <w:rsid w:val="00392F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0712"/>
    <w:rPr>
      <w:rFonts w:cs="Times New Roman"/>
      <w:sz w:val="2"/>
    </w:rPr>
  </w:style>
  <w:style w:type="table" w:styleId="TableGrid">
    <w:name w:val="Table Grid"/>
    <w:aliases w:val="Deloitte table 3"/>
    <w:basedOn w:val="TableNormal"/>
    <w:uiPriority w:val="99"/>
    <w:rsid w:val="00A40230"/>
    <w:rPr>
      <w:rFonts w:ascii="Arial" w:hAnsi="Arial"/>
      <w:sz w:val="19"/>
      <w:szCs w:val="20"/>
    </w:rPr>
    <w:tblPr>
      <w:tblInd w:w="0" w:type="dxa"/>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cs="Times New Roman"/>
        <w:b/>
        <w:color w:val="FFFFFF"/>
        <w:sz w:val="19"/>
      </w:rPr>
      <w:tblPr/>
      <w:tcPr>
        <w:shd w:val="clear" w:color="auto" w:fill="72C7E7"/>
      </w:tcPr>
    </w:tblStylePr>
    <w:tblStylePr w:type="firstCol">
      <w:rPr>
        <w:rFonts w:ascii="Arial" w:hAnsi="Arial" w:cs="Times New Roman"/>
        <w:sz w:val="19"/>
      </w:rPr>
    </w:tblStylePr>
  </w:style>
  <w:style w:type="paragraph" w:styleId="Header">
    <w:name w:val="header"/>
    <w:basedOn w:val="Normal"/>
    <w:link w:val="HeaderChar"/>
    <w:uiPriority w:val="99"/>
    <w:rsid w:val="00E421C0"/>
    <w:pPr>
      <w:tabs>
        <w:tab w:val="center" w:pos="4703"/>
        <w:tab w:val="right" w:pos="9406"/>
      </w:tabs>
    </w:pPr>
    <w:rPr>
      <w:sz w:val="16"/>
    </w:rPr>
  </w:style>
  <w:style w:type="character" w:customStyle="1" w:styleId="HeaderChar">
    <w:name w:val="Header Char"/>
    <w:basedOn w:val="DefaultParagraphFont"/>
    <w:link w:val="Header"/>
    <w:uiPriority w:val="99"/>
    <w:locked/>
    <w:rsid w:val="00E421C0"/>
    <w:rPr>
      <w:rFonts w:ascii="Arial" w:hAnsi="Arial" w:cs="Times New Roman"/>
      <w:sz w:val="24"/>
      <w:szCs w:val="24"/>
    </w:rPr>
  </w:style>
  <w:style w:type="paragraph" w:styleId="Footer">
    <w:name w:val="footer"/>
    <w:basedOn w:val="Normal"/>
    <w:link w:val="FooterChar"/>
    <w:uiPriority w:val="99"/>
    <w:rsid w:val="006F71E5"/>
    <w:pPr>
      <w:tabs>
        <w:tab w:val="center" w:pos="4703"/>
        <w:tab w:val="right" w:pos="9406"/>
      </w:tabs>
    </w:pPr>
    <w:rPr>
      <w:sz w:val="16"/>
    </w:rPr>
  </w:style>
  <w:style w:type="character" w:customStyle="1" w:styleId="FooterChar">
    <w:name w:val="Footer Char"/>
    <w:basedOn w:val="DefaultParagraphFont"/>
    <w:link w:val="Footer"/>
    <w:uiPriority w:val="99"/>
    <w:locked/>
    <w:rsid w:val="006F71E5"/>
    <w:rPr>
      <w:rFonts w:ascii="Arial" w:hAnsi="Arial" w:cs="Times New Roman"/>
      <w:sz w:val="24"/>
      <w:szCs w:val="24"/>
    </w:rPr>
  </w:style>
  <w:style w:type="character" w:styleId="PageNumber">
    <w:name w:val="page number"/>
    <w:basedOn w:val="DefaultParagraphFont"/>
    <w:uiPriority w:val="99"/>
    <w:rsid w:val="00E421C0"/>
    <w:rPr>
      <w:rFonts w:ascii="Arial" w:hAnsi="Arial" w:cs="Times New Roman"/>
      <w:sz w:val="16"/>
    </w:rPr>
  </w:style>
  <w:style w:type="paragraph" w:styleId="TOC1">
    <w:name w:val="toc 1"/>
    <w:basedOn w:val="Normal"/>
    <w:next w:val="Normal"/>
    <w:autoRedefine/>
    <w:uiPriority w:val="99"/>
    <w:rsid w:val="0008794A"/>
    <w:pPr>
      <w:spacing w:after="240"/>
    </w:pPr>
  </w:style>
  <w:style w:type="paragraph" w:styleId="TOC2">
    <w:name w:val="toc 2"/>
    <w:basedOn w:val="Normal"/>
    <w:next w:val="Normal"/>
    <w:autoRedefine/>
    <w:uiPriority w:val="99"/>
    <w:rsid w:val="0008794A"/>
    <w:pPr>
      <w:spacing w:after="240"/>
      <w:ind w:left="238"/>
    </w:pPr>
  </w:style>
  <w:style w:type="paragraph" w:styleId="TOC3">
    <w:name w:val="toc 3"/>
    <w:basedOn w:val="Normal"/>
    <w:next w:val="Normal"/>
    <w:autoRedefine/>
    <w:uiPriority w:val="99"/>
    <w:rsid w:val="0008794A"/>
    <w:pPr>
      <w:spacing w:after="240"/>
      <w:ind w:left="482"/>
    </w:pPr>
  </w:style>
  <w:style w:type="character" w:styleId="Hyperlink">
    <w:name w:val="Hyperlink"/>
    <w:basedOn w:val="DefaultParagraphFont"/>
    <w:uiPriority w:val="99"/>
    <w:rsid w:val="006F71E5"/>
    <w:rPr>
      <w:rFonts w:ascii="Arial" w:hAnsi="Arial" w:cs="Times New Roman"/>
      <w:color w:val="00A1DE"/>
      <w:sz w:val="19"/>
      <w:u w:val="single"/>
    </w:rPr>
  </w:style>
  <w:style w:type="paragraph" w:customStyle="1" w:styleId="BodyText1">
    <w:name w:val="Body Text1"/>
    <w:uiPriority w:val="99"/>
    <w:rsid w:val="00E42491"/>
    <w:rPr>
      <w:rFonts w:ascii="Arial" w:hAnsi="Arial"/>
      <w:color w:val="000000"/>
      <w:sz w:val="19"/>
      <w:szCs w:val="48"/>
      <w:lang w:eastAsia="en-US"/>
    </w:rPr>
  </w:style>
  <w:style w:type="paragraph" w:customStyle="1" w:styleId="Legalentity">
    <w:name w:val="Legal entity"/>
    <w:basedOn w:val="Normal"/>
    <w:uiPriority w:val="99"/>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uiPriority w:val="99"/>
    <w:rsid w:val="00900826"/>
    <w:pPr>
      <w:numPr>
        <w:numId w:val="33"/>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CaptionIntroductionparagraph">
    <w:name w:val="Caption Introduction paragraph"/>
    <w:uiPriority w:val="99"/>
    <w:rsid w:val="007F11EE"/>
    <w:rPr>
      <w:rFonts w:ascii="Arial" w:hAnsi="Arial"/>
      <w:b/>
      <w:color w:val="00A1DE"/>
      <w:sz w:val="24"/>
      <w:lang w:eastAsia="en-US"/>
    </w:rPr>
  </w:style>
  <w:style w:type="paragraph" w:customStyle="1" w:styleId="smlouvaheading2">
    <w:name w:val="smlouva heading 2"/>
    <w:basedOn w:val="CaptionIntroductionparagraph"/>
    <w:next w:val="BodyText1"/>
    <w:uiPriority w:val="99"/>
    <w:rsid w:val="00900826"/>
    <w:pPr>
      <w:numPr>
        <w:ilvl w:val="1"/>
        <w:numId w:val="33"/>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uiPriority w:val="99"/>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uiPriority w:val="99"/>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uiPriority w:val="99"/>
    <w:rsid w:val="00900826"/>
    <w:pPr>
      <w:numPr>
        <w:ilvl w:val="0"/>
        <w:numId w:val="0"/>
      </w:numPr>
    </w:pPr>
    <w:rPr>
      <w:b/>
    </w:rPr>
  </w:style>
  <w:style w:type="paragraph" w:customStyle="1" w:styleId="Bodytextbold">
    <w:name w:val="Body text bold"/>
    <w:basedOn w:val="smlouvabodytextbold"/>
    <w:next w:val="BodyText1"/>
    <w:uiPriority w:val="99"/>
    <w:rsid w:val="00075C1E"/>
    <w:pPr>
      <w:tabs>
        <w:tab w:val="clear" w:pos="1021"/>
        <w:tab w:val="left" w:pos="1134"/>
      </w:tabs>
    </w:pPr>
    <w:rPr>
      <w:color w:val="000000"/>
    </w:rPr>
  </w:style>
  <w:style w:type="character" w:customStyle="1" w:styleId="CaptionbodyChar">
    <w:name w:val="Caption body Char"/>
    <w:basedOn w:val="DefaultParagraphFont"/>
    <w:link w:val="Captionbody"/>
    <w:uiPriority w:val="99"/>
    <w:locked/>
    <w:rsid w:val="005B4CAD"/>
    <w:rPr>
      <w:rFonts w:ascii="Arial" w:hAnsi="Arial" w:cs="Times New Roman"/>
      <w:color w:val="000000"/>
      <w:sz w:val="18"/>
      <w:lang w:val="en-US" w:eastAsia="en-US" w:bidi="ar-SA"/>
    </w:rPr>
  </w:style>
  <w:style w:type="paragraph" w:customStyle="1" w:styleId="Captionbody">
    <w:name w:val="Caption body"/>
    <w:link w:val="CaptionbodyChar"/>
    <w:uiPriority w:val="99"/>
    <w:rsid w:val="005B4CAD"/>
    <w:rPr>
      <w:rFonts w:ascii="Arial" w:hAnsi="Arial"/>
      <w:color w:val="000000"/>
      <w:sz w:val="18"/>
      <w:szCs w:val="20"/>
      <w:lang w:val="en-US" w:eastAsia="en-US"/>
    </w:rPr>
  </w:style>
  <w:style w:type="paragraph" w:customStyle="1" w:styleId="Captionheading">
    <w:name w:val="Caption heading"/>
    <w:basedOn w:val="Captionbody"/>
    <w:uiPriority w:val="99"/>
    <w:rsid w:val="005B4CAD"/>
    <w:rPr>
      <w:b/>
    </w:rPr>
  </w:style>
  <w:style w:type="paragraph" w:customStyle="1" w:styleId="smlouvabodytext">
    <w:name w:val="smlouva body text"/>
    <w:basedOn w:val="Normal"/>
    <w:uiPriority w:val="99"/>
    <w:rsid w:val="00900826"/>
    <w:pPr>
      <w:spacing w:before="120"/>
      <w:jc w:val="both"/>
    </w:pPr>
    <w:rPr>
      <w:noProof/>
    </w:rPr>
  </w:style>
  <w:style w:type="paragraph" w:customStyle="1" w:styleId="Bulletslevel1">
    <w:name w:val="Bullets level 1"/>
    <w:basedOn w:val="Normal"/>
    <w:link w:val="Bulletslevel1Char"/>
    <w:uiPriority w:val="99"/>
    <w:rsid w:val="00075C1E"/>
    <w:pPr>
      <w:numPr>
        <w:numId w:val="4"/>
      </w:numPr>
      <w:spacing w:before="120"/>
      <w:ind w:left="360"/>
    </w:pPr>
    <w:rPr>
      <w:color w:val="000000"/>
      <w:szCs w:val="20"/>
      <w:lang w:val="en-GB"/>
    </w:rPr>
  </w:style>
  <w:style w:type="character" w:customStyle="1" w:styleId="Bulletslevel1Char">
    <w:name w:val="Bullets level 1 Char"/>
    <w:basedOn w:val="DefaultParagraphFont"/>
    <w:link w:val="Bulletslevel1"/>
    <w:uiPriority w:val="99"/>
    <w:locked/>
    <w:rsid w:val="001C2EF4"/>
    <w:rPr>
      <w:rFonts w:ascii="Arial" w:hAnsi="Arial" w:cs="Times New Roman"/>
      <w:color w:val="000000"/>
      <w:sz w:val="19"/>
      <w:lang w:val="en-GB"/>
    </w:rPr>
  </w:style>
  <w:style w:type="paragraph" w:customStyle="1" w:styleId="Bulletslevel2">
    <w:name w:val="Bullets level 2"/>
    <w:basedOn w:val="Normal"/>
    <w:link w:val="Bulletslevel2Char"/>
    <w:uiPriority w:val="99"/>
    <w:rsid w:val="00DC6C4A"/>
    <w:pPr>
      <w:numPr>
        <w:numId w:val="18"/>
      </w:numPr>
      <w:tabs>
        <w:tab w:val="left" w:pos="567"/>
      </w:tabs>
      <w:spacing w:before="120"/>
    </w:pPr>
    <w:rPr>
      <w:color w:val="000000"/>
      <w:szCs w:val="20"/>
      <w:lang w:val="en-GB"/>
    </w:rPr>
  </w:style>
  <w:style w:type="character" w:customStyle="1" w:styleId="Bulletslevel2Char">
    <w:name w:val="Bullets level 2 Char"/>
    <w:basedOn w:val="Bulletslevel1Char"/>
    <w:link w:val="Bulletslevel2"/>
    <w:uiPriority w:val="99"/>
    <w:locked/>
    <w:rsid w:val="00DC6C4A"/>
  </w:style>
  <w:style w:type="paragraph" w:customStyle="1" w:styleId="PulloutQuote">
    <w:name w:val="Pullout Quote"/>
    <w:uiPriority w:val="99"/>
    <w:rsid w:val="00095956"/>
    <w:pPr>
      <w:pBdr>
        <w:top w:val="single" w:sz="4" w:space="4" w:color="00A1DE"/>
      </w:pBdr>
      <w:suppressAutoHyphens/>
      <w:spacing w:line="320" w:lineRule="exact"/>
    </w:pPr>
    <w:rPr>
      <w:color w:val="00A1DE"/>
      <w:sz w:val="32"/>
      <w:szCs w:val="20"/>
      <w:lang w:val="en-GB" w:eastAsia="en-US"/>
    </w:rPr>
  </w:style>
  <w:style w:type="paragraph" w:customStyle="1" w:styleId="Highlight1">
    <w:name w:val="Highlight 1"/>
    <w:basedOn w:val="Normal"/>
    <w:uiPriority w:val="99"/>
    <w:rsid w:val="00146657"/>
    <w:rPr>
      <w:b/>
      <w:color w:val="3C8A2E"/>
      <w:sz w:val="20"/>
      <w:szCs w:val="16"/>
    </w:rPr>
  </w:style>
  <w:style w:type="paragraph" w:customStyle="1" w:styleId="Highlight2">
    <w:name w:val="Highlight 2"/>
    <w:basedOn w:val="Highlight1"/>
    <w:uiPriority w:val="99"/>
    <w:rsid w:val="00146657"/>
    <w:rPr>
      <w:color w:val="92D400"/>
    </w:rPr>
  </w:style>
  <w:style w:type="table" w:customStyle="1" w:styleId="Deloittetable1">
    <w:name w:val="Deloitte table 1"/>
    <w:uiPriority w:val="99"/>
    <w:rsid w:val="00A40230"/>
    <w:rPr>
      <w:rFonts w:ascii="Arial" w:hAnsi="Arial"/>
      <w:sz w:val="19"/>
      <w:szCs w:val="20"/>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paragraph" w:styleId="TOC4">
    <w:name w:val="toc 4"/>
    <w:basedOn w:val="Normal"/>
    <w:next w:val="Normal"/>
    <w:autoRedefine/>
    <w:uiPriority w:val="99"/>
    <w:rsid w:val="00CB0293"/>
    <w:pPr>
      <w:spacing w:after="240"/>
      <w:ind w:left="720"/>
    </w:pPr>
  </w:style>
  <w:style w:type="table" w:customStyle="1" w:styleId="Deloittetable2">
    <w:name w:val="Deloitte table 2"/>
    <w:uiPriority w:val="99"/>
    <w:rsid w:val="00A40230"/>
    <w:rPr>
      <w:rFonts w:ascii="Arial" w:hAnsi="Arial"/>
      <w:sz w:val="19"/>
      <w:szCs w:val="20"/>
    </w:rPr>
    <w:tblPr>
      <w:tblInd w:w="0" w:type="dxa"/>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style>
  <w:style w:type="table" w:styleId="Table3Deffects1">
    <w:name w:val="Table 3D effects 1"/>
    <w:basedOn w:val="TableNormal"/>
    <w:uiPriority w:val="99"/>
    <w:rsid w:val="00CE00BE"/>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uiPriority w:val="99"/>
    <w:rsid w:val="00A40230"/>
    <w:rPr>
      <w:rFonts w:ascii="Arial" w:hAnsi="Arial"/>
      <w:sz w:val="19"/>
      <w:szCs w:val="20"/>
    </w:rPr>
    <w:tblPr>
      <w:tblInd w:w="0" w:type="dxa"/>
      <w:tblBorders>
        <w:bottom w:val="single" w:sz="4" w:space="0" w:color="3C8A2E"/>
        <w:insideH w:val="single" w:sz="4" w:space="0" w:color="3C8A2E"/>
      </w:tblBorders>
      <w:tblCellMar>
        <w:top w:w="28" w:type="dxa"/>
        <w:left w:w="28" w:type="dxa"/>
        <w:bottom w:w="28" w:type="dxa"/>
        <w:right w:w="28" w:type="dxa"/>
      </w:tblCellMar>
    </w:tblPr>
  </w:style>
  <w:style w:type="table" w:customStyle="1" w:styleId="Deloittetable5">
    <w:name w:val="Deloitte table 5"/>
    <w:uiPriority w:val="99"/>
    <w:rsid w:val="00A40230"/>
    <w:rPr>
      <w:rFonts w:ascii="Arial" w:hAnsi="Arial"/>
      <w:sz w:val="19"/>
      <w:szCs w:val="20"/>
    </w:rPr>
    <w:tblPr>
      <w:tblInd w:w="0" w:type="dxa"/>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style>
  <w:style w:type="table" w:customStyle="1" w:styleId="Style1">
    <w:name w:val="Style1"/>
    <w:uiPriority w:val="99"/>
    <w:rsid w:val="00CE00BE"/>
    <w:rPr>
      <w:rFonts w:ascii="Arial" w:hAnsi="Arial"/>
      <w:sz w:val="19"/>
      <w:szCs w:val="20"/>
    </w:rPr>
    <w:tblPr>
      <w:tblInd w:w="0" w:type="dxa"/>
      <w:tblCellMar>
        <w:top w:w="0" w:type="dxa"/>
        <w:left w:w="108" w:type="dxa"/>
        <w:bottom w:w="0" w:type="dxa"/>
        <w:right w:w="108" w:type="dxa"/>
      </w:tblCellMar>
    </w:tblPr>
  </w:style>
  <w:style w:type="table" w:customStyle="1" w:styleId="Deloittetable6">
    <w:name w:val="Deloitte table 6"/>
    <w:uiPriority w:val="99"/>
    <w:rsid w:val="00A40230"/>
    <w:rPr>
      <w:rFonts w:ascii="Arial" w:hAnsi="Arial"/>
      <w:sz w:val="19"/>
      <w:szCs w:val="20"/>
    </w:rPr>
    <w:tblPr>
      <w:tblInd w:w="0" w:type="dxa"/>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style>
  <w:style w:type="table" w:customStyle="1" w:styleId="Deloittetable7">
    <w:name w:val="Deloitte table 7"/>
    <w:uiPriority w:val="99"/>
    <w:rsid w:val="00A40230"/>
    <w:rPr>
      <w:rFonts w:ascii="Arial" w:hAnsi="Arial"/>
      <w:sz w:val="19"/>
      <w:szCs w:val="20"/>
    </w:rPr>
    <w:tblPr>
      <w:tblInd w:w="0" w:type="dxa"/>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style>
  <w:style w:type="table" w:styleId="Table3Deffects3">
    <w:name w:val="Table 3D effects 3"/>
    <w:basedOn w:val="TableNormal"/>
    <w:uiPriority w:val="99"/>
    <w:rsid w:val="00CE00BE"/>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Deloittetable8">
    <w:name w:val="Deloitte table 8"/>
    <w:uiPriority w:val="99"/>
    <w:rsid w:val="006F2C90"/>
    <w:pPr>
      <w:contextualSpacing/>
    </w:pPr>
    <w:rPr>
      <w:rFonts w:ascii="Arial" w:hAnsi="Arial"/>
      <w:sz w:val="19"/>
      <w:szCs w:val="20"/>
    </w:rPr>
    <w:tblPr>
      <w:tblInd w:w="0" w:type="dxa"/>
      <w:tblBorders>
        <w:top w:val="single" w:sz="4" w:space="0" w:color="2D6823"/>
        <w:bottom w:val="single" w:sz="4" w:space="0" w:color="2D6823"/>
        <w:insideH w:val="single" w:sz="4" w:space="0" w:color="2D6823"/>
      </w:tblBorders>
      <w:tblCellMar>
        <w:top w:w="28" w:type="dxa"/>
        <w:left w:w="28" w:type="dxa"/>
        <w:bottom w:w="28" w:type="dxa"/>
        <w:right w:w="28" w:type="dxa"/>
      </w:tblCellMar>
    </w:tblPr>
  </w:style>
  <w:style w:type="table" w:customStyle="1" w:styleId="Deloittetable81">
    <w:name w:val="Deloitte table 8.1"/>
    <w:uiPriority w:val="99"/>
    <w:rsid w:val="006F2C90"/>
    <w:rPr>
      <w:rFonts w:ascii="Arial" w:hAnsi="Arial"/>
      <w:sz w:val="19"/>
      <w:szCs w:val="20"/>
    </w:rPr>
    <w:tblPr>
      <w:tblInd w:w="0" w:type="dxa"/>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table" w:customStyle="1" w:styleId="Deloittetable82">
    <w:name w:val="Deloitte table 8.2"/>
    <w:uiPriority w:val="99"/>
    <w:rsid w:val="006F6C05"/>
    <w:rPr>
      <w:rFonts w:ascii="Arial" w:hAnsi="Arial"/>
      <w:sz w:val="19"/>
      <w:szCs w:val="20"/>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style>
  <w:style w:type="table" w:customStyle="1" w:styleId="Deloittetable83">
    <w:name w:val="Deloitte table 8.3"/>
    <w:uiPriority w:val="99"/>
    <w:rsid w:val="006F6C05"/>
    <w:rPr>
      <w:rFonts w:ascii="Arial" w:hAnsi="Arial"/>
      <w:sz w:val="19"/>
      <w:szCs w:val="20"/>
    </w:rPr>
    <w:tblPr>
      <w:tblInd w:w="0" w:type="dxa"/>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style>
  <w:style w:type="table" w:customStyle="1" w:styleId="Deloittetable84">
    <w:name w:val="Deloitte table 8.4"/>
    <w:uiPriority w:val="99"/>
    <w:rsid w:val="006F6C05"/>
    <w:rPr>
      <w:rFonts w:ascii="Arial" w:hAnsi="Arial"/>
      <w:sz w:val="19"/>
      <w:szCs w:val="20"/>
    </w:rPr>
    <w:tblPr>
      <w:tblInd w:w="0" w:type="dxa"/>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style>
  <w:style w:type="table" w:customStyle="1" w:styleId="Deloittetable85">
    <w:name w:val="Deloitte table 8.5"/>
    <w:uiPriority w:val="99"/>
    <w:rsid w:val="006F6C05"/>
    <w:rPr>
      <w:rFonts w:ascii="Arial" w:hAnsi="Arial"/>
      <w:sz w:val="19"/>
      <w:szCs w:val="20"/>
    </w:rPr>
    <w:tblPr>
      <w:tblInd w:w="0" w:type="dxa"/>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style>
  <w:style w:type="table" w:customStyle="1" w:styleId="Deloittetable86">
    <w:name w:val="Deloitte table 8.6"/>
    <w:uiPriority w:val="99"/>
    <w:rsid w:val="006F6C05"/>
    <w:rPr>
      <w:rFonts w:ascii="Arial" w:hAnsi="Arial"/>
      <w:sz w:val="19"/>
      <w:szCs w:val="20"/>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style>
  <w:style w:type="table" w:styleId="TableColumns3">
    <w:name w:val="Table Columns 3"/>
    <w:basedOn w:val="TableNormal"/>
    <w:uiPriority w:val="99"/>
    <w:rsid w:val="00FE07E4"/>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rfulList-Accent4">
    <w:name w:val="Colorful List Accent 4"/>
    <w:basedOn w:val="TableNormal"/>
    <w:uiPriority w:val="99"/>
    <w:rsid w:val="00FE07E4"/>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1F9FC"/>
    </w:tcPr>
    <w:tblStylePr w:type="firstRow">
      <w:rPr>
        <w:rFonts w:cs="Times New Roman"/>
        <w:b/>
        <w:bCs/>
        <w:color w:val="FFFFFF"/>
      </w:rPr>
      <w:tblPr/>
      <w:tcPr>
        <w:tcBorders>
          <w:bottom w:val="single" w:sz="12" w:space="0" w:color="FFFFFF"/>
        </w:tcBorders>
        <w:shd w:val="clear" w:color="auto" w:fill="007FB1"/>
      </w:tcPr>
    </w:tblStylePr>
    <w:tblStylePr w:type="lastRow">
      <w:rPr>
        <w:rFonts w:cs="Times New Roman"/>
        <w:b/>
        <w:bCs/>
        <w:color w:val="007FB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BF1F9"/>
      </w:tcPr>
    </w:tblStylePr>
    <w:tblStylePr w:type="band1Horz">
      <w:rPr>
        <w:rFonts w:cs="Times New Roman"/>
      </w:rPr>
      <w:tblPr/>
      <w:tcPr>
        <w:shd w:val="clear" w:color="auto" w:fill="E2F3FA"/>
      </w:tcPr>
    </w:tblStylePr>
  </w:style>
  <w:style w:type="table" w:styleId="MediumGrid2-Accent4">
    <w:name w:val="Medium Grid 2 Accent 4"/>
    <w:basedOn w:val="TableNormal"/>
    <w:uiPriority w:val="99"/>
    <w:rsid w:val="00FE07E4"/>
    <w:rPr>
      <w:rFonts w:ascii="Arial" w:hAnsi="Arial"/>
      <w:color w:val="000000"/>
      <w:sz w:val="20"/>
      <w:szCs w:val="20"/>
    </w:rPr>
    <w:tblPr>
      <w:tblStyleRowBandSize w:val="1"/>
      <w:tblStyleColBandSize w:val="1"/>
      <w:tblInd w:w="0" w:type="dxa"/>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CellMar>
        <w:top w:w="0" w:type="dxa"/>
        <w:left w:w="108" w:type="dxa"/>
        <w:bottom w:w="0" w:type="dxa"/>
        <w:right w:w="108" w:type="dxa"/>
      </w:tblCellMar>
    </w:tblPr>
    <w:tcPr>
      <w:shd w:val="clear" w:color="auto" w:fill="DBF1F9"/>
    </w:tcPr>
    <w:tblStylePr w:type="firstRow">
      <w:rPr>
        <w:rFonts w:cs="Times New Roman"/>
        <w:b/>
        <w:bCs/>
        <w:color w:val="000000"/>
      </w:rPr>
      <w:tblPr/>
      <w:tcPr>
        <w:shd w:val="clear" w:color="auto" w:fill="F1F9F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2F3FA"/>
      </w:tcPr>
    </w:tblStylePr>
    <w:tblStylePr w:type="band1Vert">
      <w:rPr>
        <w:rFonts w:cs="Times New Roman"/>
      </w:rPr>
      <w:tblPr/>
      <w:tcPr>
        <w:shd w:val="clear" w:color="auto" w:fill="B8E2F3"/>
      </w:tcPr>
    </w:tblStylePr>
    <w:tblStylePr w:type="band1Horz">
      <w:rPr>
        <w:rFonts w:cs="Times New Roman"/>
      </w:rPr>
      <w:tblPr/>
      <w:tcPr>
        <w:tcBorders>
          <w:insideH w:val="single" w:sz="6" w:space="0" w:color="72C7E7"/>
          <w:insideV w:val="single" w:sz="6" w:space="0" w:color="72C7E7"/>
        </w:tcBorders>
        <w:shd w:val="clear" w:color="auto" w:fill="B8E2F3"/>
      </w:tcPr>
    </w:tblStylePr>
    <w:tblStylePr w:type="nwCell">
      <w:rPr>
        <w:rFonts w:cs="Times New Roman"/>
      </w:rPr>
      <w:tblPr/>
      <w:tcPr>
        <w:shd w:val="clear" w:color="auto" w:fill="FFFFFF"/>
      </w:tcPr>
    </w:tblStylePr>
  </w:style>
  <w:style w:type="paragraph" w:styleId="TOC5">
    <w:name w:val="toc 5"/>
    <w:basedOn w:val="Normal"/>
    <w:next w:val="Normal"/>
    <w:autoRedefine/>
    <w:uiPriority w:val="99"/>
    <w:rsid w:val="00210E5E"/>
    <w:pPr>
      <w:spacing w:after="100"/>
      <w:ind w:left="960"/>
    </w:pPr>
  </w:style>
  <w:style w:type="character" w:styleId="FootnoteReference">
    <w:name w:val="footnote reference"/>
    <w:basedOn w:val="DefaultParagraphFont"/>
    <w:uiPriority w:val="99"/>
    <w:rsid w:val="00E421C0"/>
    <w:rPr>
      <w:rFonts w:ascii="Arial" w:hAnsi="Arial" w:cs="Times New Roman"/>
      <w:sz w:val="16"/>
      <w:vertAlign w:val="superscript"/>
    </w:rPr>
  </w:style>
  <w:style w:type="paragraph" w:styleId="FootnoteText">
    <w:name w:val="footnote text"/>
    <w:basedOn w:val="Normal"/>
    <w:link w:val="FootnoteTextChar"/>
    <w:uiPriority w:val="99"/>
    <w:rsid w:val="00E421C0"/>
    <w:rPr>
      <w:sz w:val="16"/>
      <w:szCs w:val="20"/>
    </w:rPr>
  </w:style>
  <w:style w:type="character" w:customStyle="1" w:styleId="FootnoteTextChar">
    <w:name w:val="Footnote Text Char"/>
    <w:basedOn w:val="DefaultParagraphFont"/>
    <w:link w:val="FootnoteText"/>
    <w:uiPriority w:val="99"/>
    <w:locked/>
    <w:rsid w:val="00E421C0"/>
    <w:rPr>
      <w:rFonts w:ascii="Arial" w:hAnsi="Arial" w:cs="Times New Roman"/>
      <w:sz w:val="16"/>
    </w:rPr>
  </w:style>
  <w:style w:type="paragraph" w:customStyle="1" w:styleId="Highlight3">
    <w:name w:val="Highlight 3"/>
    <w:basedOn w:val="Highlight2"/>
    <w:uiPriority w:val="99"/>
    <w:rsid w:val="00146657"/>
    <w:rPr>
      <w:color w:val="00A1DE"/>
    </w:rPr>
  </w:style>
  <w:style w:type="paragraph" w:styleId="TOCHeading">
    <w:name w:val="TOC Heading"/>
    <w:basedOn w:val="Heading1"/>
    <w:next w:val="Normal"/>
    <w:uiPriority w:val="99"/>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styleId="Title">
    <w:name w:val="Title"/>
    <w:basedOn w:val="Normal"/>
    <w:link w:val="TitleChar"/>
    <w:uiPriority w:val="99"/>
    <w:qFormat/>
    <w:rsid w:val="007B7F19"/>
    <w:pPr>
      <w:jc w:val="center"/>
    </w:pPr>
    <w:rPr>
      <w:sz w:val="32"/>
      <w:u w:val="single"/>
    </w:rPr>
  </w:style>
  <w:style w:type="character" w:customStyle="1" w:styleId="TitleChar">
    <w:name w:val="Title Char"/>
    <w:basedOn w:val="DefaultParagraphFont"/>
    <w:link w:val="Title"/>
    <w:uiPriority w:val="99"/>
    <w:locked/>
    <w:rsid w:val="007B7F19"/>
    <w:rPr>
      <w:rFonts w:cs="Times New Roman"/>
      <w:sz w:val="24"/>
      <w:szCs w:val="24"/>
      <w:u w:val="single"/>
      <w:lang w:val="cs-CZ" w:eastAsia="cs-CZ"/>
    </w:rPr>
  </w:style>
  <w:style w:type="paragraph" w:styleId="BodyText">
    <w:name w:val="Body Text"/>
    <w:basedOn w:val="Normal"/>
    <w:link w:val="BodyTextChar"/>
    <w:uiPriority w:val="99"/>
    <w:rsid w:val="007B7F19"/>
    <w:pPr>
      <w:jc w:val="both"/>
    </w:pPr>
  </w:style>
  <w:style w:type="character" w:customStyle="1" w:styleId="BodyTextChar">
    <w:name w:val="Body Text Char"/>
    <w:basedOn w:val="DefaultParagraphFont"/>
    <w:link w:val="BodyText"/>
    <w:uiPriority w:val="99"/>
    <w:locked/>
    <w:rsid w:val="007B7F19"/>
    <w:rPr>
      <w:rFonts w:cs="Times New Roman"/>
      <w:sz w:val="24"/>
      <w:szCs w:val="24"/>
      <w:lang w:val="cs-CZ" w:eastAsia="cs-CZ"/>
    </w:rPr>
  </w:style>
  <w:style w:type="paragraph" w:styleId="ListParagraph">
    <w:name w:val="List Paragraph"/>
    <w:basedOn w:val="Normal"/>
    <w:uiPriority w:val="99"/>
    <w:qFormat/>
    <w:rsid w:val="00887E9A"/>
    <w:pPr>
      <w:ind w:left="720"/>
      <w:contextualSpacing/>
    </w:pPr>
    <w:rPr>
      <w:rFonts w:ascii="Arial" w:hAnsi="Arial"/>
      <w:sz w:val="19"/>
      <w:lang w:val="en-US" w:eastAsia="en-US"/>
    </w:rPr>
  </w:style>
</w:styles>
</file>

<file path=word/webSettings.xml><?xml version="1.0" encoding="utf-8"?>
<w:webSettings xmlns:r="http://schemas.openxmlformats.org/officeDocument/2006/relationships" xmlns:w="http://schemas.openxmlformats.org/wordprocessingml/2006/main">
  <w:divs>
    <w:div w:id="656230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901</Words>
  <Characters>5322</Characters>
  <Application>Microsoft Office Outlook</Application>
  <DocSecurity>0</DocSecurity>
  <Lines>0</Lines>
  <Paragraphs>0</Paragraphs>
  <ScaleCrop>false</ScaleCrop>
  <Company>Deloitte Central Europe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Výpočet ukazatelů podle ustanovení § 10 odst</dc:title>
  <dc:subject/>
  <dc:creator>Martina Smetanova</dc:creator>
  <cp:keywords/>
  <dc:description/>
  <cp:lastModifiedBy>Lenka Ruckerova</cp:lastModifiedBy>
  <cp:revision>2</cp:revision>
  <cp:lastPrinted>2012-11-01T14:21:00Z</cp:lastPrinted>
  <dcterms:created xsi:type="dcterms:W3CDTF">2014-02-28T11:17:00Z</dcterms:created>
  <dcterms:modified xsi:type="dcterms:W3CDTF">2014-02-28T11:17:00Z</dcterms:modified>
</cp:coreProperties>
</file>